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廊坊市文安县城市管理综合行政执法局本级</w:t>
      </w:r>
    </w:p>
    <w:p>
      <w:pPr>
        <w:spacing w:line="584"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1</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w:t>
      </w:r>
      <w:r>
        <w:rPr>
          <w:rFonts w:hint="eastAsia" w:ascii="仿宋_GB2312" w:hAnsi="Arial" w:eastAsia="仿宋_GB2312" w:cs="仿宋_GB2312"/>
          <w:color w:val="333333"/>
          <w:kern w:val="0"/>
          <w:sz w:val="32"/>
          <w:szCs w:val="32"/>
          <w:shd w:val="clear" w:color="auto" w:fill="FFFFFF"/>
        </w:rPr>
        <w:t>现将廊坊市文安县城市管理综合行政执法局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640" w:lineRule="exact"/>
        <w:ind w:firstLine="640" w:firstLineChars="200"/>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贯彻落实党中央和省委、市委、县委关于城市管理综合行政执法工作的方针政策和决策部署，坚持和加强党对城市管理综合行政执法工作的集中统一领导。主要职责是：</w:t>
      </w:r>
    </w:p>
    <w:p>
      <w:pPr>
        <w:spacing w:line="640" w:lineRule="exact"/>
        <w:ind w:firstLine="640" w:firstLineChars="200"/>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一）贯彻落实国家和省、市、县关于城市管理综合行政执法工作的法律、法规、规章及相关政策；起草全县城市管理综合行政执法的相关办法，拟订相关政策、制度和发展规划并组织实施；统筹全县城市管理综合行政执法的改革与发展。</w:t>
      </w:r>
    </w:p>
    <w:p>
      <w:pPr>
        <w:spacing w:line="640" w:lineRule="exact"/>
        <w:ind w:firstLine="640" w:firstLineChars="200"/>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（二）行使市容环境卫生管理方面法律、法规、规章规定的全部行政处罚权；履行市容环境卫生管理方面法律、法规、规章规定的有关职责。</w:t>
      </w:r>
    </w:p>
    <w:p>
      <w:pPr>
        <w:spacing w:line="640" w:lineRule="exact"/>
        <w:ind w:firstLine="640" w:firstLineChars="200"/>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（三）行使城乡规划管理方面法律、法规、规章规定的全部行政处罚权。</w:t>
      </w:r>
    </w:p>
    <w:p>
      <w:pPr>
        <w:spacing w:line="640" w:lineRule="exact"/>
        <w:ind w:firstLine="640" w:firstLineChars="200"/>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（四）行使城市园林绿化管理方面法律、法规、规章规定的全部行政处罚权。负责园林绿化的管理工作、地方性政策及具体办法，并监督实施；拟定城市绿化发展战略、中长期发展规划和年度计划并组织实施。</w:t>
      </w:r>
    </w:p>
    <w:p>
      <w:pPr>
        <w:spacing w:line="640" w:lineRule="exact"/>
        <w:ind w:firstLine="640" w:firstLineChars="200"/>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（五）行使市场监督管理方面法律、法规、规章规定的对户外公共场所无照经营行为的行政处罚权。</w:t>
      </w:r>
    </w:p>
    <w:p>
      <w:pPr>
        <w:spacing w:line="640" w:lineRule="exact"/>
        <w:ind w:firstLine="640" w:firstLineChars="200"/>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（六）行使公安交通管理方面法律、法规、规章规定的对侵占城市道路人行道、公共场地等行为的行政处罚权。</w:t>
      </w:r>
    </w:p>
    <w:p>
      <w:pPr>
        <w:spacing w:line="640" w:lineRule="exact"/>
        <w:ind w:firstLine="640" w:firstLineChars="200"/>
        <w:rPr>
          <w:rFonts w:ascii="仿宋_GB2312" w:hAnsi="Arial" w:eastAsia="仿宋_GB2312" w:cs="仿宋_GB2312"/>
          <w:color w:val="333333"/>
          <w:kern w:val="0"/>
          <w:sz w:val="32"/>
          <w:szCs w:val="32"/>
          <w:shd w:val="clear" w:color="auto" w:fill="FFFFFF"/>
        </w:rPr>
      </w:pPr>
      <w:r>
        <w:rPr>
          <w:rFonts w:ascii="仿宋_GB2312" w:hAnsi="Arial" w:eastAsia="仿宋_GB2312" w:cs="仿宋_GB2312"/>
          <w:color w:val="333333"/>
          <w:kern w:val="0"/>
          <w:sz w:val="32"/>
          <w:szCs w:val="32"/>
          <w:shd w:val="clear" w:color="auto" w:fill="FFFFFF"/>
        </w:rPr>
        <w:t>（七）行使市政、公用设施管理方面法律、法规、规章规定的全部行政处罚权。</w:t>
      </w:r>
    </w:p>
    <w:p>
      <w:pPr>
        <w:spacing w:line="640" w:lineRule="exact"/>
        <w:ind w:firstLine="640" w:firstLineChars="200"/>
        <w:rPr>
          <w:rFonts w:ascii="仿宋_GB2312" w:hAnsi="Arial" w:eastAsia="仿宋_GB2312" w:cs="仿宋_GB2312"/>
          <w:color w:val="333333"/>
          <w:kern w:val="0"/>
          <w:sz w:val="32"/>
          <w:szCs w:val="32"/>
          <w:shd w:val="clear" w:color="auto" w:fill="FFFFFF"/>
        </w:rPr>
      </w:pPr>
      <w:r>
        <w:rPr>
          <w:rFonts w:hint="eastAsia" w:ascii="仿宋_GB2312" w:hAnsi="Arial" w:eastAsia="仿宋_GB2312" w:cs="仿宋_GB2312"/>
          <w:color w:val="333333"/>
          <w:kern w:val="0"/>
          <w:sz w:val="32"/>
          <w:szCs w:val="32"/>
          <w:shd w:val="clear" w:color="auto" w:fill="FFFFFF"/>
        </w:rPr>
        <w:t>（八）</w:t>
      </w:r>
      <w:r>
        <w:rPr>
          <w:rFonts w:ascii="仿宋_GB2312" w:hAnsi="Arial" w:eastAsia="仿宋_GB2312" w:cs="仿宋_GB2312"/>
          <w:color w:val="333333"/>
          <w:kern w:val="0"/>
          <w:sz w:val="32"/>
          <w:szCs w:val="32"/>
          <w:shd w:val="clear" w:color="auto" w:fill="FFFFFF"/>
        </w:rPr>
        <w:t>负责编制城区户外广告、招牌设置规划和技术规范；负责城区户外广告和张贴张挂宣传品的审批、监督和管理工作。</w:t>
      </w:r>
    </w:p>
    <w:p>
      <w:pPr>
        <w:pStyle w:val="8"/>
        <w:shd w:val="clear" w:color="auto" w:fill="FFFFFF"/>
        <w:spacing w:line="405" w:lineRule="atLeast"/>
        <w:ind w:firstLine="633" w:firstLineChars="198"/>
        <w:rPr>
          <w:rFonts w:hint="eastAsia" w:ascii="仿宋_GB2312" w:hAnsi="Arial" w:eastAsia="仿宋_GB2312" w:cs="仿宋_GB2312"/>
          <w:color w:val="333333"/>
          <w:sz w:val="32"/>
          <w:szCs w:val="32"/>
          <w:shd w:val="clear" w:color="auto" w:fill="FFFFFF"/>
        </w:rPr>
      </w:pPr>
      <w:r>
        <w:rPr>
          <w:rFonts w:ascii="仿宋_GB2312" w:hAnsi="Arial" w:eastAsia="仿宋_GB2312" w:cs="仿宋_GB2312"/>
          <w:color w:val="333333"/>
          <w:sz w:val="32"/>
          <w:szCs w:val="32"/>
          <w:shd w:val="clear" w:color="auto" w:fill="FFFFFF"/>
        </w:rPr>
        <w:t>（九）完成县委、县政府交办的其他任务。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pStyle w:val="8"/>
        <w:shd w:val="clear" w:color="auto" w:fill="FFFFFF"/>
        <w:spacing w:line="405" w:lineRule="atLeast"/>
        <w:jc w:val="center"/>
        <w:rPr>
          <w:rFonts w:hint="eastAsia" w:ascii="黑体" w:hAnsi="Arial" w:eastAsia="黑体" w:cs="仿宋_GB2312"/>
          <w:color w:val="333333"/>
          <w:sz w:val="28"/>
          <w:szCs w:val="28"/>
          <w:shd w:val="clear" w:color="auto" w:fill="FFFFFF"/>
        </w:rPr>
      </w:pPr>
      <w:r>
        <w:rPr>
          <w:rFonts w:hint="eastAsia" w:ascii="黑体" w:hAnsi="Arial" w:eastAsia="黑体" w:cs="仿宋_GB2312"/>
          <w:color w:val="333333"/>
          <w:sz w:val="28"/>
          <w:szCs w:val="28"/>
          <w:shd w:val="clear" w:color="auto" w:fill="FFFFFF"/>
          <w:lang w:eastAsia="zh-CN"/>
        </w:rPr>
        <w:t>单位</w:t>
      </w:r>
      <w:r>
        <w:rPr>
          <w:rFonts w:hint="eastAsia" w:ascii="黑体" w:hAnsi="Arial" w:eastAsia="黑体" w:cs="仿宋_GB2312"/>
          <w:color w:val="333333"/>
          <w:sz w:val="28"/>
          <w:szCs w:val="28"/>
          <w:shd w:val="clear" w:color="auto" w:fill="FFFFFF"/>
        </w:rPr>
        <w:t>机构设置情况</w:t>
      </w:r>
    </w:p>
    <w:tbl>
      <w:tblPr>
        <w:tblStyle w:val="9"/>
        <w:tblW w:w="0" w:type="auto"/>
        <w:tblInd w:w="8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6"/>
        <w:gridCol w:w="1866"/>
        <w:gridCol w:w="1830"/>
        <w:gridCol w:w="5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736" w:type="dxa"/>
            <w:noWrap w:val="0"/>
            <w:vAlign w:val="center"/>
          </w:tcPr>
          <w:p>
            <w:pPr>
              <w:pStyle w:val="8"/>
              <w:spacing w:line="405" w:lineRule="atLeast"/>
              <w:jc w:val="center"/>
              <w:rPr>
                <w:rFonts w:hint="eastAsia" w:ascii="仿宋_GB2312" w:hAnsi="Arial" w:eastAsia="仿宋_GB2312" w:cs="Arial"/>
                <w:b/>
                <w:color w:val="333333"/>
                <w:shd w:val="clear" w:color="auto" w:fill="FFFFFF"/>
              </w:rPr>
            </w:pPr>
            <w:r>
              <w:rPr>
                <w:rFonts w:hint="eastAsia" w:ascii="仿宋_GB2312" w:hAnsi="Arial" w:eastAsia="仿宋_GB2312" w:cs="Arial"/>
                <w:b/>
                <w:color w:val="333333"/>
                <w:shd w:val="clear" w:color="auto" w:fill="FFFFFF"/>
              </w:rPr>
              <w:t>单位名称</w:t>
            </w:r>
          </w:p>
        </w:tc>
        <w:tc>
          <w:tcPr>
            <w:tcW w:w="1866" w:type="dxa"/>
            <w:noWrap w:val="0"/>
            <w:vAlign w:val="center"/>
          </w:tcPr>
          <w:p>
            <w:pPr>
              <w:pStyle w:val="8"/>
              <w:spacing w:line="405" w:lineRule="atLeast"/>
              <w:jc w:val="center"/>
              <w:rPr>
                <w:rFonts w:hint="eastAsia" w:ascii="仿宋_GB2312" w:hAnsi="Arial" w:eastAsia="仿宋_GB2312" w:cs="Arial"/>
                <w:b/>
                <w:color w:val="333333"/>
                <w:shd w:val="clear" w:color="auto" w:fill="FFFFFF"/>
              </w:rPr>
            </w:pPr>
            <w:r>
              <w:rPr>
                <w:rFonts w:hint="eastAsia" w:ascii="仿宋_GB2312" w:hAnsi="Arial" w:eastAsia="仿宋_GB2312" w:cs="Arial"/>
                <w:b/>
                <w:color w:val="333333"/>
                <w:shd w:val="clear" w:color="auto" w:fill="FFFFFF"/>
              </w:rPr>
              <w:t>单位性质</w:t>
            </w:r>
          </w:p>
        </w:tc>
        <w:tc>
          <w:tcPr>
            <w:tcW w:w="1830" w:type="dxa"/>
            <w:noWrap w:val="0"/>
            <w:vAlign w:val="center"/>
          </w:tcPr>
          <w:p>
            <w:pPr>
              <w:pStyle w:val="8"/>
              <w:spacing w:line="405" w:lineRule="atLeast"/>
              <w:jc w:val="center"/>
              <w:rPr>
                <w:rFonts w:hint="eastAsia" w:ascii="仿宋_GB2312" w:hAnsi="Arial" w:eastAsia="仿宋_GB2312" w:cs="Arial"/>
                <w:b/>
                <w:color w:val="333333"/>
                <w:shd w:val="clear" w:color="auto" w:fill="FFFFFF"/>
              </w:rPr>
            </w:pPr>
            <w:r>
              <w:rPr>
                <w:rFonts w:hint="eastAsia" w:ascii="仿宋_GB2312" w:hAnsi="Arial" w:eastAsia="仿宋_GB2312" w:cs="Arial"/>
                <w:b/>
                <w:color w:val="333333"/>
                <w:shd w:val="clear" w:color="auto" w:fill="FFFFFF"/>
              </w:rPr>
              <w:t>单位规格</w:t>
            </w:r>
          </w:p>
        </w:tc>
        <w:tc>
          <w:tcPr>
            <w:tcW w:w="5228" w:type="dxa"/>
            <w:noWrap w:val="0"/>
            <w:vAlign w:val="center"/>
          </w:tcPr>
          <w:p>
            <w:pPr>
              <w:pStyle w:val="8"/>
              <w:spacing w:line="405" w:lineRule="atLeast"/>
              <w:jc w:val="center"/>
              <w:rPr>
                <w:rFonts w:hint="eastAsia" w:ascii="仿宋_GB2312" w:hAnsi="Arial" w:eastAsia="仿宋_GB2312" w:cs="Arial"/>
                <w:b/>
                <w:color w:val="333333"/>
                <w:shd w:val="clear" w:color="auto" w:fill="FFFFFF"/>
              </w:rPr>
            </w:pPr>
            <w:r>
              <w:rPr>
                <w:rFonts w:hint="eastAsia" w:ascii="仿宋_GB2312" w:hAnsi="Arial" w:eastAsia="仿宋_GB2312" w:cs="Arial"/>
                <w:b/>
                <w:color w:val="333333"/>
                <w:shd w:val="clear" w:color="auto" w:fill="FFFFFF"/>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736" w:type="dxa"/>
            <w:noWrap w:val="0"/>
            <w:vAlign w:val="center"/>
          </w:tcPr>
          <w:p>
            <w:pPr>
              <w:pStyle w:val="8"/>
              <w:spacing w:line="405" w:lineRule="atLeast"/>
              <w:jc w:val="center"/>
              <w:rPr>
                <w:rFonts w:hint="eastAsia"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文安县城市管理综合行政执法局</w:t>
            </w:r>
          </w:p>
        </w:tc>
        <w:tc>
          <w:tcPr>
            <w:tcW w:w="1866" w:type="dxa"/>
            <w:noWrap w:val="0"/>
            <w:vAlign w:val="center"/>
          </w:tcPr>
          <w:p>
            <w:pPr>
              <w:pStyle w:val="8"/>
              <w:spacing w:line="405" w:lineRule="atLeast"/>
              <w:jc w:val="center"/>
              <w:rPr>
                <w:rFonts w:hint="eastAsia"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行政</w:t>
            </w:r>
          </w:p>
        </w:tc>
        <w:tc>
          <w:tcPr>
            <w:tcW w:w="1830" w:type="dxa"/>
            <w:noWrap w:val="0"/>
            <w:vAlign w:val="center"/>
          </w:tcPr>
          <w:p>
            <w:pPr>
              <w:pStyle w:val="8"/>
              <w:spacing w:line="405" w:lineRule="atLeast"/>
              <w:jc w:val="center"/>
              <w:rPr>
                <w:rFonts w:hint="eastAsia"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正科级</w:t>
            </w:r>
          </w:p>
        </w:tc>
        <w:tc>
          <w:tcPr>
            <w:tcW w:w="5228" w:type="dxa"/>
            <w:noWrap w:val="0"/>
            <w:vAlign w:val="center"/>
          </w:tcPr>
          <w:p>
            <w:pPr>
              <w:pStyle w:val="8"/>
              <w:spacing w:line="405" w:lineRule="atLeast"/>
              <w:jc w:val="center"/>
              <w:rPr>
                <w:rFonts w:hint="eastAsia" w:ascii="仿宋_GB2312" w:hAnsi="Arial" w:eastAsia="仿宋_GB2312" w:cs="Arial"/>
                <w:color w:val="333333"/>
                <w:sz w:val="21"/>
                <w:szCs w:val="21"/>
                <w:shd w:val="clear" w:color="auto" w:fill="FFFFFF"/>
              </w:rPr>
            </w:pPr>
            <w:r>
              <w:rPr>
                <w:rFonts w:hint="eastAsia" w:ascii="仿宋_GB2312" w:hAnsi="Arial" w:eastAsia="仿宋_GB2312" w:cs="Arial"/>
                <w:color w:val="333333"/>
                <w:sz w:val="21"/>
                <w:szCs w:val="21"/>
                <w:shd w:val="clear" w:color="auto" w:fill="FFFFFF"/>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pStyle w:val="8"/>
        <w:shd w:val="clear" w:color="auto" w:fill="FFFFFF"/>
        <w:spacing w:line="405" w:lineRule="atLeast"/>
        <w:ind w:firstLine="640" w:firstLineChars="200"/>
        <w:rPr>
          <w:rFonts w:hint="eastAsia" w:ascii="仿宋_GB2312" w:hAnsi="Arial" w:eastAsia="仿宋_GB2312" w:cs="仿宋_GB2312"/>
          <w:color w:val="333333"/>
          <w:sz w:val="32"/>
          <w:szCs w:val="32"/>
          <w:shd w:val="clear" w:color="auto" w:fill="FFFFFF"/>
        </w:rPr>
      </w:pPr>
      <w:r>
        <w:rPr>
          <w:rFonts w:ascii="Times New Roman" w:hAnsi="Times New Roman" w:eastAsia="仿宋_GB2312" w:cs="Times New Roman"/>
          <w:sz w:val="32"/>
          <w:szCs w:val="32"/>
        </w:rPr>
        <w:t>按照预算管理有关规定，目前我市</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仿宋_GB2312" w:hAnsi="Arial" w:eastAsia="仿宋_GB2312" w:cs="仿宋_GB2312"/>
          <w:color w:val="333333"/>
          <w:sz w:val="32"/>
          <w:szCs w:val="32"/>
          <w:shd w:val="clear" w:color="auto" w:fill="FFFFFF"/>
        </w:rPr>
        <w:t>廊坊市文安县城市管理综合行政执法局</w:t>
      </w:r>
      <w:r>
        <w:rPr>
          <w:rFonts w:hint="default" w:ascii="仿宋_GB2312" w:hAnsi="Arial" w:eastAsia="仿宋_GB2312" w:cs="仿宋_GB2312"/>
          <w:color w:val="333333"/>
          <w:sz w:val="32"/>
          <w:szCs w:val="32"/>
          <w:shd w:val="clear" w:color="auto" w:fill="FFFFFF"/>
        </w:rPr>
        <w:t>本级</w:t>
      </w:r>
      <w:r>
        <w:rPr>
          <w:rFonts w:hint="eastAsia" w:ascii="仿宋_GB2312" w:hAnsi="Arial" w:eastAsia="仿宋_GB2312" w:cs="仿宋_GB2312"/>
          <w:color w:val="333333"/>
          <w:sz w:val="32"/>
          <w:szCs w:val="32"/>
          <w:shd w:val="clear" w:color="auto" w:fill="FFFFFF"/>
        </w:rPr>
        <w:t>的收支包含在</w:t>
      </w:r>
      <w:r>
        <w:rPr>
          <w:rFonts w:hint="eastAsia" w:ascii="仿宋_GB2312" w:hAnsi="Arial" w:eastAsia="仿宋_GB2312" w:cs="仿宋_GB2312"/>
          <w:color w:val="333333"/>
          <w:sz w:val="32"/>
          <w:szCs w:val="32"/>
          <w:shd w:val="clear" w:color="auto" w:fill="FFFFFF"/>
          <w:lang w:eastAsia="zh-CN"/>
        </w:rPr>
        <w:t>单位</w:t>
      </w:r>
      <w:r>
        <w:rPr>
          <w:rFonts w:hint="eastAsia" w:ascii="仿宋_GB2312" w:hAnsi="Arial" w:eastAsia="仿宋_GB2312" w:cs="仿宋_GB2312"/>
          <w:color w:val="333333"/>
          <w:sz w:val="32"/>
          <w:szCs w:val="32"/>
          <w:shd w:val="clear" w:color="auto" w:fill="FFFFFF"/>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hint="default" w:ascii="Times New Roman" w:hAnsi="Times New Roman" w:eastAsia="仿宋_GB2312" w:cs="Times New Roman"/>
          <w:sz w:val="32"/>
          <w:szCs w:val="32"/>
        </w:rPr>
        <w:t>1</w:t>
      </w:r>
      <w:r>
        <w:rPr>
          <w:rFonts w:ascii="Times New Roman" w:hAnsi="Times New Roman" w:eastAsia="仿宋_GB2312" w:cs="Times New Roman"/>
          <w:sz w:val="32"/>
          <w:szCs w:val="32"/>
        </w:rPr>
        <w:t>年预算收入</w:t>
      </w:r>
      <w:r>
        <w:rPr>
          <w:rFonts w:hint="default" w:ascii="Times New Roman" w:hAnsi="Times New Roman" w:eastAsia="仿宋_GB2312" w:cs="Times New Roman"/>
          <w:sz w:val="32"/>
          <w:szCs w:val="32"/>
          <w:lang w:eastAsia="zh-CN"/>
        </w:rPr>
        <w:t>13021.23</w:t>
      </w:r>
      <w:r>
        <w:rPr>
          <w:rFonts w:ascii="Times New Roman" w:hAnsi="Times New Roman" w:eastAsia="仿宋_GB2312" w:cs="Times New Roman"/>
          <w:sz w:val="32"/>
          <w:szCs w:val="32"/>
        </w:rPr>
        <w:t>万元，其中：一般公共预算收入</w:t>
      </w:r>
      <w:r>
        <w:rPr>
          <w:rFonts w:hint="default" w:ascii="Times New Roman" w:hAnsi="Times New Roman" w:eastAsia="仿宋_GB2312" w:cs="Times New Roman"/>
          <w:sz w:val="32"/>
          <w:szCs w:val="32"/>
          <w:lang w:eastAsia="zh-CN"/>
        </w:rPr>
        <w:t>9586.73</w:t>
      </w:r>
      <w:r>
        <w:rPr>
          <w:rFonts w:ascii="Times New Roman" w:hAnsi="Times New Roman" w:eastAsia="仿宋_GB2312" w:cs="Times New Roman"/>
          <w:sz w:val="32"/>
          <w:szCs w:val="32"/>
        </w:rPr>
        <w:t>万元，基金预算收入</w:t>
      </w:r>
      <w:r>
        <w:rPr>
          <w:rFonts w:hint="default" w:ascii="Times New Roman" w:hAnsi="Times New Roman" w:eastAsia="仿宋_GB2312" w:cs="Times New Roman"/>
          <w:sz w:val="32"/>
          <w:szCs w:val="32"/>
          <w:lang w:eastAsia="zh-CN"/>
        </w:rPr>
        <w:t>3434.50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13021.23</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bookmarkStart w:id="3" w:name="_GoBack"/>
      <w:bookmarkEnd w:id="3"/>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仿宋_GB2312" w:hAnsi="Arial" w:eastAsia="仿宋_GB2312" w:cs="仿宋_GB2312"/>
          <w:color w:val="333333"/>
          <w:sz w:val="32"/>
          <w:szCs w:val="32"/>
          <w:shd w:val="clear" w:color="auto" w:fill="FFFFFF"/>
        </w:rPr>
        <w:t>文安县城市管理综合行政执法局</w:t>
      </w:r>
      <w:r>
        <w:rPr>
          <w:rFonts w:hint="eastAsia" w:ascii="仿宋_GB2312" w:hAnsi="Arial" w:eastAsia="仿宋_GB2312" w:cs="仿宋_GB2312"/>
          <w:color w:val="333333"/>
          <w:sz w:val="32"/>
          <w:szCs w:val="32"/>
          <w:shd w:val="clear" w:color="auto" w:fill="FFFFFF"/>
          <w:lang w:val="en-US" w:eastAsia="zh-CN"/>
        </w:rPr>
        <w:t>202</w:t>
      </w:r>
      <w:r>
        <w:rPr>
          <w:rFonts w:hint="default" w:ascii="仿宋_GB2312" w:hAnsi="Arial" w:eastAsia="仿宋_GB2312" w:cs="仿宋_GB2312"/>
          <w:color w:val="333333"/>
          <w:sz w:val="32"/>
          <w:szCs w:val="32"/>
          <w:shd w:val="clear" w:color="auto" w:fill="FFFFFF"/>
          <w:lang w:eastAsia="zh-CN"/>
        </w:rPr>
        <w:t>1</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hint="default" w:ascii="Times New Roman" w:hAnsi="Times New Roman" w:eastAsia="仿宋_GB2312" w:cs="Times New Roman"/>
          <w:sz w:val="32"/>
          <w:szCs w:val="32"/>
        </w:rPr>
        <w:t>1</w:t>
      </w:r>
      <w:r>
        <w:rPr>
          <w:rFonts w:ascii="Times New Roman" w:hAnsi="Times New Roman" w:eastAsia="仿宋_GB2312" w:cs="Times New Roman"/>
          <w:sz w:val="32"/>
          <w:szCs w:val="32"/>
        </w:rPr>
        <w:t>年支出预算</w:t>
      </w:r>
      <w:r>
        <w:rPr>
          <w:rFonts w:hint="default" w:ascii="Times New Roman" w:hAnsi="Times New Roman" w:eastAsia="仿宋_GB2312" w:cs="Times New Roman"/>
          <w:sz w:val="32"/>
          <w:szCs w:val="32"/>
          <w:lang w:eastAsia="zh-CN"/>
        </w:rPr>
        <w:t>13021.23</w:t>
      </w:r>
      <w:r>
        <w:rPr>
          <w:rFonts w:ascii="Times New Roman" w:hAnsi="Times New Roman" w:eastAsia="仿宋_GB2312" w:cs="Times New Roman"/>
          <w:sz w:val="32"/>
          <w:szCs w:val="32"/>
        </w:rPr>
        <w:t>万元，</w:t>
      </w:r>
      <w:r>
        <w:rPr>
          <w:rFonts w:ascii="Times New Roman" w:hAnsi="Times New Roman" w:eastAsia="仿宋_GB2312" w:cs="Times New Roman"/>
          <w:color w:val="000000" w:themeColor="text1"/>
          <w:sz w:val="32"/>
          <w:szCs w:val="32"/>
          <w14:textFill>
            <w14:solidFill>
              <w14:schemeClr w14:val="tx1"/>
            </w14:solidFill>
          </w14:textFill>
        </w:rPr>
        <w:t>其中基本支出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1360.06</w:t>
      </w:r>
      <w:r>
        <w:rPr>
          <w:rFonts w:ascii="Times New Roman" w:hAnsi="Times New Roman" w:eastAsia="仿宋_GB2312" w:cs="Times New Roman"/>
          <w:color w:val="000000" w:themeColor="text1"/>
          <w:sz w:val="32"/>
          <w:szCs w:val="32"/>
          <w14:textFill>
            <w14:solidFill>
              <w14:schemeClr w14:val="tx1"/>
            </w14:solidFill>
          </w14:textFill>
        </w:rPr>
        <w:t>万元，包括人员类项目经费</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1276.68</w:t>
      </w:r>
      <w:r>
        <w:rPr>
          <w:rFonts w:ascii="Times New Roman" w:hAnsi="Times New Roman" w:eastAsia="仿宋_GB2312" w:cs="Times New Roman"/>
          <w:color w:val="000000" w:themeColor="text1"/>
          <w:sz w:val="32"/>
          <w:szCs w:val="32"/>
          <w14:textFill>
            <w14:solidFill>
              <w14:schemeClr w14:val="tx1"/>
            </w14:solidFill>
          </w14:textFill>
        </w:rPr>
        <w:t>万元和</w:t>
      </w:r>
      <w:r>
        <w:rPr>
          <w:rFonts w:hint="eastAsia" w:ascii="Times New Roman" w:hAnsi="Times New Roman" w:eastAsia="仿宋_GB2312" w:cs="Times New Roman"/>
          <w:color w:val="000000" w:themeColor="text1"/>
          <w:sz w:val="32"/>
          <w:szCs w:val="32"/>
          <w14:textFill>
            <w14:solidFill>
              <w14:schemeClr w14:val="tx1"/>
            </w14:solidFill>
          </w14:textFill>
        </w:rPr>
        <w:t>运转类</w:t>
      </w:r>
      <w:r>
        <w:rPr>
          <w:rFonts w:ascii="Times New Roman" w:hAnsi="Times New Roman" w:eastAsia="仿宋_GB2312" w:cs="Times New Roman"/>
          <w:color w:val="000000" w:themeColor="text1"/>
          <w:sz w:val="32"/>
          <w:szCs w:val="32"/>
          <w14:textFill>
            <w14:solidFill>
              <w14:schemeClr w14:val="tx1"/>
            </w14:solidFill>
          </w14:textFill>
        </w:rPr>
        <w:t>公用项目经费</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83.38</w:t>
      </w:r>
      <w:r>
        <w:rPr>
          <w:rFonts w:ascii="Times New Roman" w:hAnsi="Times New Roman" w:eastAsia="仿宋_GB2312" w:cs="Times New Roman"/>
          <w:color w:val="000000" w:themeColor="text1"/>
          <w:sz w:val="32"/>
          <w:szCs w:val="32"/>
          <w14:textFill>
            <w14:solidFill>
              <w14:schemeClr w14:val="tx1"/>
            </w14:solidFill>
          </w14:textFill>
        </w:rPr>
        <w:t>万元；运转类其他及特定目标类项目支出11661.17万元，主要为城乡社区支出6728.17万元和农林水支出4933万元。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default" w:ascii="Times New Roman" w:hAnsi="Times New Roman" w:eastAsia="仿宋_GB2312" w:cs="Times New Roman"/>
          <w:sz w:val="32"/>
          <w:szCs w:val="32"/>
        </w:rPr>
        <w:t>1</w:t>
      </w:r>
      <w:r>
        <w:rPr>
          <w:rFonts w:ascii="Times New Roman" w:hAnsi="Times New Roman" w:eastAsia="仿宋_GB2312" w:cs="Times New Roman"/>
          <w:sz w:val="32"/>
          <w:szCs w:val="32"/>
        </w:rPr>
        <w:t>年预算收支安排</w:t>
      </w:r>
      <w:r>
        <w:rPr>
          <w:rFonts w:hint="default" w:ascii="Times New Roman" w:hAnsi="Times New Roman" w:eastAsia="仿宋_GB2312" w:cs="Times New Roman"/>
          <w:sz w:val="32"/>
          <w:szCs w:val="32"/>
          <w:lang w:eastAsia="zh-CN"/>
        </w:rPr>
        <w:t>13021.23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default" w:ascii="Times New Roman" w:hAnsi="Times New Roman" w:eastAsia="仿宋_GB2312" w:cs="Times New Roman"/>
          <w:sz w:val="32"/>
          <w:szCs w:val="32"/>
        </w:rPr>
        <w:t>0</w:t>
      </w:r>
      <w:r>
        <w:rPr>
          <w:rFonts w:ascii="Times New Roman" w:hAnsi="Times New Roman" w:eastAsia="仿宋_GB2312" w:cs="Times New Roman"/>
          <w:sz w:val="32"/>
          <w:szCs w:val="32"/>
        </w:rPr>
        <w:t>年预算</w:t>
      </w:r>
      <w:r>
        <w:rPr>
          <w:rFonts w:hint="default" w:ascii="Times New Roman" w:hAnsi="Times New Roman" w:eastAsia="仿宋_GB2312" w:cs="Times New Roman"/>
          <w:sz w:val="32"/>
          <w:szCs w:val="32"/>
          <w:lang w:eastAsia="zh-CN"/>
        </w:rPr>
        <w:t>增加6061.79</w:t>
      </w:r>
      <w:r>
        <w:rPr>
          <w:rFonts w:ascii="Times New Roman" w:hAnsi="Times New Roman" w:eastAsia="仿宋_GB2312" w:cs="Times New Roman"/>
          <w:sz w:val="32"/>
          <w:szCs w:val="32"/>
        </w:rPr>
        <w:t>万元，其中：基本支出增加</w:t>
      </w:r>
      <w:r>
        <w:rPr>
          <w:rFonts w:hint="default" w:ascii="Times New Roman" w:hAnsi="Times New Roman" w:eastAsia="仿宋_GB2312" w:cs="Times New Roman"/>
          <w:sz w:val="32"/>
          <w:szCs w:val="32"/>
          <w:highlight w:val="none"/>
          <w:lang w:eastAsia="zh-CN"/>
        </w:rPr>
        <w:t>99.5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人员增加</w:t>
      </w:r>
      <w:r>
        <w:rPr>
          <w:rFonts w:ascii="Times New Roman" w:hAnsi="Times New Roman" w:eastAsia="仿宋_GB2312" w:cs="Times New Roman"/>
          <w:sz w:val="32"/>
          <w:szCs w:val="32"/>
        </w:rPr>
        <w:t>支出；项目支出</w:t>
      </w:r>
      <w:r>
        <w:rPr>
          <w:rFonts w:hint="default" w:ascii="Times New Roman" w:hAnsi="Times New Roman" w:eastAsia="仿宋_GB2312" w:cs="Times New Roman"/>
          <w:sz w:val="32"/>
          <w:szCs w:val="32"/>
          <w:lang w:eastAsia="zh-CN"/>
        </w:rPr>
        <w:t>增加5962.82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园林绿化</w:t>
      </w:r>
      <w:r>
        <w:rPr>
          <w:rFonts w:ascii="Times New Roman" w:hAnsi="Times New Roman" w:eastAsia="仿宋_GB2312" w:cs="Times New Roman"/>
          <w:sz w:val="32"/>
          <w:szCs w:val="32"/>
        </w:rPr>
        <w:t>项目</w:t>
      </w:r>
      <w:r>
        <w:rPr>
          <w:rFonts w:hint="default" w:ascii="Times New Roman" w:hAnsi="Times New Roman" w:eastAsia="仿宋_GB2312" w:cs="Times New Roman"/>
          <w:sz w:val="32"/>
          <w:szCs w:val="32"/>
          <w:lang w:eastAsia="zh-CN"/>
        </w:rPr>
        <w:t>增加</w:t>
      </w:r>
      <w:r>
        <w:rPr>
          <w:rFonts w:ascii="Times New Roman" w:hAnsi="Times New Roman" w:eastAsia="仿宋_GB2312" w:cs="Times New Roman"/>
          <w:sz w:val="32"/>
          <w:szCs w:val="32"/>
        </w:rPr>
        <w:t>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default" w:ascii="Times New Roman" w:hAnsi="Times New Roman" w:eastAsia="仿宋_GB2312" w:cs="Times New Roman"/>
          <w:sz w:val="32"/>
          <w:szCs w:val="32"/>
        </w:rPr>
        <w:t>1</w:t>
      </w:r>
      <w:r>
        <w:rPr>
          <w:rFonts w:ascii="Times New Roman" w:hAnsi="Times New Roman" w:eastAsia="仿宋_GB2312" w:cs="Times New Roman"/>
          <w:sz w:val="32"/>
          <w:szCs w:val="32"/>
        </w:rPr>
        <w:t>年，我局机关运行经费共计安排</w:t>
      </w:r>
      <w:r>
        <w:rPr>
          <w:rFonts w:hint="default" w:ascii="Times New Roman" w:hAnsi="Times New Roman" w:eastAsia="仿宋_GB2312" w:cs="Times New Roman"/>
          <w:sz w:val="32"/>
          <w:szCs w:val="32"/>
          <w:lang w:eastAsia="zh-CN"/>
        </w:rPr>
        <w:t>83.38</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我单位</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default" w:ascii="Times New Roman" w:hAnsi="Times New Roman" w:eastAsia="仿宋_GB2312" w:cs="Times New Roman"/>
          <w:sz w:val="32"/>
          <w:szCs w:val="32"/>
        </w:rPr>
        <w:t>1</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与2020年相比减少2.20万元，主要是公务用车减少。</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ind w:firstLine="560" w:firstLineChars="200"/>
        <w:jc w:val="left"/>
        <w:rPr>
          <w:rFonts w:hint="eastAsia" w:ascii="Times New Roman" w:hAnsi="宋体"/>
          <w:b/>
          <w:sz w:val="28"/>
        </w:rPr>
      </w:pPr>
      <w:bookmarkStart w:id="0" w:name="_Toc_4_4_0000000004"/>
      <w:r>
        <w:rPr>
          <w:rFonts w:hint="eastAsia" w:ascii="方正仿宋_GBK" w:eastAsia="方正仿宋_GBK"/>
          <w:b/>
          <w:sz w:val="28"/>
        </w:rPr>
        <w:t>1、后进村帮扶款绩效目标表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凝聚合力攻坚，确保取得实效。</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认真落实责任，积极开展帮扶工作。</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做好我县后进村集中治理整顿工作。</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2、政通道（荣美超市至大庄子段）绿化带补植工程绩效目标表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本项目建成后，对提高人民群众生活质量、树立城市形象、优化投资环境等方面都将有明显的提高，而且净化空气、减弱噪音、减尘、改善小气候环境、防风等作用，具有一定的经济效益和社会效益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项目建设内容和规模符合城市总体规划及城市园林绿地系统专项规划，工程技术合理。</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城镇建设水平的提高，对环境质量提出了新的要求。</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3、住房公积金绩效目标表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保障公积金的正常缴纳。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促进工作的正常开展。</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提高人员经费保障。</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实地走访</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4、精神文明创建活动奖励绩效目标表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保工资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保工资</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保工资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共计</w:t>
            </w:r>
            <w:r>
              <w:rPr>
                <w:rFonts w:ascii="方正书宋_GBK" w:eastAsia="方正书宋_GBK"/>
              </w:rPr>
              <w:t>202</w:t>
            </w:r>
            <w:r>
              <w:rPr>
                <w:rFonts w:hint="eastAsia" w:ascii="方正书宋_GBK" w:eastAsia="方正书宋_GBK"/>
              </w:rPr>
              <w:t>人</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人员工资</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编内</w:t>
            </w:r>
            <w:r>
              <w:rPr>
                <w:rFonts w:ascii="方正书宋_GBK" w:eastAsia="方正书宋_GBK"/>
              </w:rPr>
              <w:t>68</w:t>
            </w:r>
            <w:r>
              <w:rPr>
                <w:rFonts w:hint="eastAsia" w:ascii="方正书宋_GBK" w:eastAsia="方正书宋_GBK"/>
              </w:rPr>
              <w:t>人，退休</w:t>
            </w:r>
            <w:r>
              <w:rPr>
                <w:rFonts w:ascii="方正书宋_GBK" w:eastAsia="方正书宋_GBK"/>
              </w:rPr>
              <w:t>15</w:t>
            </w:r>
            <w:r>
              <w:rPr>
                <w:rFonts w:hint="eastAsia" w:ascii="方正书宋_GBK" w:eastAsia="方正书宋_GBK"/>
              </w:rPr>
              <w:t>人，编外</w:t>
            </w:r>
            <w:r>
              <w:rPr>
                <w:rFonts w:ascii="方正书宋_GBK" w:eastAsia="方正书宋_GBK"/>
              </w:rPr>
              <w:t>119</w:t>
            </w:r>
            <w:r>
              <w:rPr>
                <w:rFonts w:hint="eastAsia" w:ascii="方正书宋_GBK" w:eastAsia="方正书宋_GBK"/>
              </w:rPr>
              <w:t>人。</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精神文明创建活动奖励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对象满意度</w:t>
            </w:r>
          </w:p>
        </w:tc>
        <w:tc>
          <w:tcPr>
            <w:tcW w:w="2835" w:type="dxa"/>
            <w:noWrap w:val="0"/>
            <w:vAlign w:val="center"/>
          </w:tcPr>
          <w:p>
            <w:pPr>
              <w:spacing w:line="300" w:lineRule="exact"/>
              <w:jc w:val="left"/>
              <w:rPr>
                <w:rFonts w:hint="eastAsia"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实地走访</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精神文明创建活动奖励</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5、购置服装绩效目标表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目建设能带来巨大的社会效益、经济效益和生态效益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加强公共基础设施建设，着力打造绿色宜居城市的需要</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城镇建设水平的提高，对环境质量提出了新的要求。</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6、文安县森林公园、水景公园、堤顶公园及政府院内绿化养护项目绩效目标表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本项目建成后，对提高人民群众生活质量、树立城市形象、优化投资环境等方面都将有明显的提高，而且净化空气、减弱噪音、减尘、改善小气候环境、防风等作用，具有一定的经济效益和社会效益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项目建设内容和规模符合城市总体规划及城市园林绿地系统专项规划，工程技术合理。</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城镇建设水平的提高，对环境质量提出了新的要求。</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7、文安县县城城市生活垃圾处理费绩效目标表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提高城市垃圾的无害化处理水平，切实改善居民生活环境。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垃圾处理场的运营，使县城环境容貌得到较大的改善，其收运和垃圾处理增加了就业机会，城市的面貌和环境的改善，将提高经济发展的需要。</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通过项目的实施，可持续地改善垃圾收集转运及提高处理效率，提高人民生活质量，项目实施后社会效益经济效益，环境资产凸显，具有可持续性。</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日垃圾处理量</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日垃圾处理量</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280</w:t>
            </w:r>
            <w:r>
              <w:rPr>
                <w:rFonts w:hint="eastAsia" w:ascii="方正书宋_GBK" w:eastAsia="方正书宋_GBK"/>
              </w:rPr>
              <w:t>吨</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需求调研</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8、2020年债券项目一案两书编制费绩效目标表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保障项目的顺利实施。</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本项目建设符合国家鼓励发展的产业政策，符合文安县整体规划要求，将使文安县基础设施结构更加合理经济辐射能力进一步增强。</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对促进当地的经济发展和社会稳定具有重要意义，并带动周边经济的快速发展。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实地走访</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9、文安县外立面广告牌匾制作服务前期费用绩效目标表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目建设能带来巨大的社会效益、经济效益和生态效益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加强公共基础设施建设，着力打造绿色宜居城市的需要</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城镇建设水平的提高，对环境质量提出了新的要求。</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10、政府院内绿化补植工程绩效目标表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本项目建成后，对提高人民群众生活质量、树立城市形象、优化投资环境等方面都将有明显的提高，而且净化空气、减弱噪音、减尘、改善小气候环境、防风等作用，具有一定的经济效益和社会效益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项目建设内容和规模符合城市总体规划及城市园林绿地系统专项规划，工程技术合理。</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城镇建设水平的提高，对环境质量提出了新的要求。</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11、县城生活垃圾处理费绩效目标表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提高城市垃圾的无害化处理水平，切实改善居民生活环境。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垃圾处理场的运营，使县城环境容貌得到较大的改善，其收运和垃圾处理增加了就业机会，城市的面貌和环境的改善，将提高经济发展的需要。</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通过项目的实施，可持续地改善垃圾收集转运及提高处理效率，提高人民生活质量，项目实施后社会效益经济效益，环境资产凸显，具有可持续性。</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实地走访</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12、环城水系景观绿化工程二期设计费绩效目标表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项目建设能带来巨大的社会效益、经济效益和生态效益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加强公共基础设施建设，着力打造绿色宜居城市的需要</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城镇建设水平的提高，对环境质量提出了新的要求。</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受益群体的满意度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13、城乡一体化资金绩效目标表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为贯彻落实县十二次党代会精神，持续开展农村人居环境综合整治，提高农村环境清扫、收集、转运、处理的管理水平，建立健全农村环境卫生管理长效机制。</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按照</w:t>
            </w:r>
            <w:r>
              <w:rPr>
                <w:rFonts w:hint="cs" w:ascii="方正书宋_GBK" w:eastAsia="方正书宋_GBK"/>
                <w:cs/>
              </w:rPr>
              <w:t>“</w:t>
            </w:r>
            <w:r>
              <w:rPr>
                <w:rFonts w:hint="eastAsia" w:ascii="方正书宋_GBK" w:eastAsia="方正书宋_GBK"/>
              </w:rPr>
              <w:t>统一领导、分工负责、属地管理、全民参与</w:t>
            </w:r>
            <w:r>
              <w:rPr>
                <w:rFonts w:hint="cs" w:ascii="方正书宋_GBK" w:eastAsia="方正书宋_GBK"/>
                <w:cs/>
              </w:rPr>
              <w:t>”</w:t>
            </w:r>
            <w:r>
              <w:rPr>
                <w:rFonts w:hint="eastAsia" w:ascii="方正书宋_GBK" w:eastAsia="方正书宋_GBK"/>
              </w:rPr>
              <w:t>的总体思路，坚持</w:t>
            </w:r>
            <w:r>
              <w:rPr>
                <w:rFonts w:hint="cs" w:ascii="方正书宋_GBK" w:eastAsia="方正书宋_GBK"/>
                <w:cs/>
              </w:rPr>
              <w:t>“</w:t>
            </w:r>
            <w:r>
              <w:rPr>
                <w:rFonts w:hint="eastAsia" w:ascii="方正书宋_GBK" w:eastAsia="方正书宋_GBK"/>
              </w:rPr>
              <w:t>全方位覆盖、无缝隙对接、一体化管理</w:t>
            </w:r>
            <w:r>
              <w:rPr>
                <w:rFonts w:hint="cs" w:ascii="方正书宋_GBK" w:eastAsia="方正书宋_GBK"/>
                <w:cs/>
              </w:rPr>
              <w:t>”</w:t>
            </w:r>
            <w:r>
              <w:rPr>
                <w:rFonts w:hint="eastAsia" w:ascii="方正书宋_GBK" w:eastAsia="方正书宋_GBK"/>
              </w:rPr>
              <w:t>的原则，采用政府购买服务的方式，引进专业环卫企业进行运营管理，同时建立县、镇、村三级监督体系，全力打造整洁优美、和谐宜居的城乡人居环境，促进文安经济社会全面协调可持续发展。</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建立县、镇、村三级监督体系，全力打造整洁优美、和谐宜居的城乡人居环境，促进文安经济社会全面协调可持续发展。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14、办公设备购置经费绩效目标表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改善办公条件，提高工作效率。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保障工作的正常运转。</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提高管理工作水平。</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购置数量</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购置物资完成计划比例</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台</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w:t>
            </w:r>
          </w:p>
        </w:tc>
        <w:tc>
          <w:tcPr>
            <w:tcW w:w="2835" w:type="dxa"/>
            <w:noWrap w:val="0"/>
            <w:vAlign w:val="center"/>
          </w:tcPr>
          <w:p>
            <w:pPr>
              <w:spacing w:line="300" w:lineRule="exact"/>
              <w:jc w:val="left"/>
              <w:rPr>
                <w:rFonts w:hint="eastAsia"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按预算完成</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按预算资金完成拨付</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81268</w:t>
            </w:r>
            <w:r>
              <w:rPr>
                <w:rFonts w:hint="eastAsia" w:ascii="方正书宋_GBK" w:eastAsia="方正书宋_GBK"/>
              </w:rPr>
              <w:t>元</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按时拨付购置资金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办公条件</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得到有效提高</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noWrap w:val="0"/>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hint="eastAsia"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15、疫情防控经费绩效目标表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进一步健全防控工作制度，坚决做到疫情防护有指南，防控管理有制度，防控责任落实到人，防护物资设备有储备。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严格落实疫情联防联控工作机制，确保各项措施要求执行有力、落到实处，坚决遢制疫情扩散蔓延。</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进一步巩固常态化防控机制，抓紧抓实抓细我局常态化疫情防控工作，坚决防止疫情新燃点。</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16、世纪大道绿化工程绩效目标表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大力发展城市绿化工作，能够大大提高城市品位和档次，树立良好的城市形象，增强城市的凝聚力和吸引力，聚集人才、聚集财源、聚集技术、聚集有利于发展的要素，提升城市综合竞争能力，极大的推动改革开放和经济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城市绿化时衡量一个城市现代化和文明程度的重要标志</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城镇建设水平的提高，对环境质量提出了新的要求。</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17、车辆购置经费绩效目标表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改善办公条件，提高工作效率。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保障工作的正常运转。</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为加快办事速度，促进各项工作提前完成。</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购置车辆</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购置业务保障用车（辆）</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辆</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工作实际需要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政府采购率</w:t>
            </w:r>
          </w:p>
        </w:tc>
        <w:tc>
          <w:tcPr>
            <w:tcW w:w="2835" w:type="dxa"/>
            <w:noWrap w:val="0"/>
            <w:vAlign w:val="center"/>
          </w:tcPr>
          <w:p>
            <w:pPr>
              <w:spacing w:line="300" w:lineRule="exact"/>
              <w:jc w:val="left"/>
              <w:rPr>
                <w:rFonts w:hint="eastAsia"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根据采购标准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加快监管队伍建设</w:t>
            </w:r>
            <w:r>
              <w:rPr>
                <w:rFonts w:ascii="方正书宋_GBK" w:eastAsia="方正书宋_GBK"/>
              </w:rPr>
              <w:t>,</w:t>
            </w:r>
            <w:r>
              <w:rPr>
                <w:rFonts w:hint="eastAsia" w:ascii="方正书宋_GBK" w:eastAsia="方正书宋_GBK"/>
              </w:rPr>
              <w:t>提高工作效率和服务水平</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实地走访</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18、2020年创城工作经费绩效目标表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以建设美丽幸福文安为目标，以全面提升创城水平为抓手，紧盯各项重点目标任务不放，凝神聚力，真抓实干，确保重点工作的稳步提升。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强化综合整治，城市环境进一步提升。</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确保创城各项工作顺利开展。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居民满意度</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19、文安县到期游园和道路绿化养护服务绩效目标表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本项目建成后，对提高人民群众生活质量、树立城市形象、优化投资环境等方面都将有明显的提高，而且净化空气、减弱噪音、减尘、改善小气候环境、防风等作用，具有一定的经济效益和社会效益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项目建设内容和规模符合城市总体规划及城市园林绿地系统专项规划，工程技术合理。</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城镇建设水平的提高，对环境质量提出了新的要求。</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20、迎宾大道绿化隔离带、迎宾大道两侧绿化带、防洪堤东北段绿化购买服务项目绩效目标表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大力发展城市绿化工作，能够大大提高城市品位和档次，树立良好的城市形象，增强城市的凝聚力和吸引力，聚集人才、聚集财源、聚集技术、聚集有利于发展的要素，提升城市综合竞争能力，极大的推动改革开放和经济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城市绿化时衡量一个城市现代化和文明程度的重要标志</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城镇建设水平的提高，对环境质量提出了新的要求。</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21、迎宾大道景观绿化项目资金绩效目标表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大力发展城市绿化工作，能够大大提高城市的品位和档次，树立良好的城市形象，增强城市的凝聚力，聚集人才、聚集资金、聚集技术、聚集有利于发展的要素，提升城市综合竞争力，极大地推动改革开放和经济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城市绿化，不仅是满足人民生活水平不断提高的需要，也是落实全面建设小康社会宏伟目标的重要措施。</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城市绿化是衡量一个城市现代化和文明程度的重要标志。注重生态保护、资源综合利用、人与自然和谐</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22、数字化城管运行维护费绩效目标表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数字化城市管理是落实科学发展观的具体体现。科学发展观的核心是以人为来，这就决定了城市管理的工作重点是为了解决人民群众在城市管理领域关注的涉及切身利益的问题。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数字化城市管理是公众参与城市管理的重要途径。数字化城市管理将城市部件准确定位并编码，并通过城市管理坚督员全天不间断巡查，不仅可以及时发现并上报各种城市部件和事件信息，还可以在很短时间内完成对某类城市管理对象的专项普查；不仅可以及时发现问题，而且可以及时处理问题从而为维护城市公共安全提供了可靠保障，提高了区域内群众的安全感。</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数字化城市管理彻底改变了城市管理的理念、流程和方法，对于提高城市管理水平、解决城市安全问题、维护区域内市民的根本利益，具有重要意义。</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实地走访</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23、农村生活垃圾分类处理经费绩效目标表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加快推进生活垃圾管理地方立法，建立健全垃圾分类配套政策体系，制定垃圾分类相关的技术和管理标准，强化监督管理，形成长效机制。</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通过开展生活垃圾分类收集试点工作，增强全社会垃圾分类意识，引导广大市民掌握生活垃圾分类常识，养成生活垃圾分类习惯和生活垃圾自觉分类行为。</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逐步扩大生活垃圾分类收集的覆盖面，推进生活垃圾收运处理体系建设，不断提高环境卫生管理水平。坚持因地制宜、协同推进。</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24、园林绿化养护经费绩效目标表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大力发展城市绿化工作，能够大大提高城市的品位和档次，树立良好的城市形象，增强城市的凝聚力，聚集人才、聚集资金、聚集技术、聚集有利于发展的要素，提升城市综合竞争力，极大地推动改革开放和经济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城市绿化，不仅是满足人民生活水平不断提高的需要，也是落实全面建设小康社会宏伟目标的重要措施。</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城市绿化是衡量一个城市现代化和文明程度的重要标志。注重生态保护、资源综合利用、人与自然和谐</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r>
              <w:rPr>
                <w:rFonts w:ascii="方正书宋_GBK" w:eastAsia="方正书宋_GBK"/>
              </w:rPr>
              <w:t>%</w:t>
            </w:r>
            <w:r>
              <w:rPr>
                <w:rFonts w:hint="eastAsia" w:ascii="方正书宋_GBK" w:eastAsia="方正书宋_GBK"/>
              </w:rPr>
              <w:t>）</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25、2013-2020左各庄生活垃圾处理服务费绩效目标表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提高城市垃圾的无害化处理水平，切实改善居民生活环境。</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垃圾处理场的运营，使县城环境容貌得到较大的改善，其收运和垃圾处理增加了就业机会，城市的面貌和环境的改善，将提高经济发展的需要。</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通过项目的实施，可持续地改善垃圾收集转运及提高处理效率，提高人民生活质量，项目实施后社会效益经济效益，环境资产凸显，具有可持续性。</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26、迎宾大道中央绿化带、丰利北路（三光州段）、兴文西道绿化带、国泰道绿化养护管理绩效目标表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本项目建成后，对提高人民群众生活质量、树立城市形象、优化投资环境等方面都将有明显的提高，而且净化空气、减弱噪音、减尘、改善小气候环境、防风等作用，具有一定的经济效益和社会效益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项目建设内容和规模符合城市总体规划及城市园林绿地系统专项规划，工程技术合理。</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城镇建设水平的提高，对环境质量提出了新的要求。</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27、农村生活垃圾分类处理经费绩效目标表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加快推进生活垃圾管理地方立法，建立健全垃圾分类配套政策体系，制定垃圾分类相关的技术和管理标准，强化监督管理，形成长效机制。</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通过开展生活垃圾分类收集试点工作，增强全社会垃圾分类意识，引导广大市民掌握生活垃圾分类常识，养成生活垃圾分类习惯和生活垃圾自觉分类行为。</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逐步扩大生活垃圾分类收集的覆盖面，推进生活垃圾收运处理体系建设，不断提高环境卫生管理水平。坚持因地制宜、协同推进。</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接受基本公共卫生服务的重点人群对基层医疗卫生机构所提供服务的满意程度</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实地走访</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28、2013-2020城市生活垃圾处理服务费绩效目标表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提高城市垃圾的无害化处理水平，切实改善居民生活环境。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垃圾处理场的运营，使县城环境容貌得到较大的改善，其收运和垃圾处理增加了就业机会，城市的面貌和环境的改善，将提高经济发展的需要。</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通过项目的实施，可持续地改善垃圾收集转运及提高处理效率，提高人民生活质量，项目实施后社会效益经济效益，环境资产凸显，具有可持续性。</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29、文安县西城便民市场前期费用绩效目标表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目建设能带来巨大的社会效益、经济效益和生态效益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加强公共基础设施建设，着力打造绿色宜居城市的需要</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城镇建设水平的提高，对环境质量提出了新的要求。</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30、堤顶路内侧绿化提升改造工程前期费用绩效目标表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项目建设能带来巨大的社会效益、经济效益和生态效益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加强公共基础设施建设，着力打造绿色宜居城市的需要</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城镇建设水平的提高，对环境质量提出了新的要求。</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31、执法局专项公用经费绩效目标表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完成城管工作人员对办公用品的需求。</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确保城管工作的正常运转。</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确保执法工作的正常进行。</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群众满意数量占总数的比重</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32、外立面改造及牌匾工程及前期费用绩效目标表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目建设能带来巨大的社会效益、经济效益和生态效益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加强公共基础设施建设，着力打造绿色宜居城市的需要</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城镇建设水平的提高，对环境质量提出了新的要求。</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33、项目前期费用绩效目标表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保障项目前期工作的顺利开展。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本项目建设符合国家鼓励发展的产业政策，符合文安县整体规划要求，将使文安县基础设施结构更加合理经济辐射能力进一步增强，对促进当地的经济发展和社会稳定具有重要意义，并带动周边经济的快速发展。因此，项目的建设是必要的。</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修复建设古城墙、城门、书院及古城墙公园等一批历史建筑，打造环绕古城墙主题公园，使其成为文化、旅游、休闲景观带。</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服务对象问卷测评满意率</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按照权重比例扣分</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34、旧防洪堤东段及游园工程绩效目标表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项目建设能带来巨大的社会效益、经济效益和生态效益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加强公共基础设施建设，着力打造绿色宜居城市的需要</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城镇建设水平的提高，对环境质量提出了新的要求。</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受益群体的满意度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35、吉福巷改造提升项目及前期费用绩效目标表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目建设能带来巨大的社会效益、经济效益和生态效益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加强公共基础设施建设，着力打造绿色宜居城市的需要</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城镇建设水平的提高，对环境质量提出了新的要求。</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36、环城水系景观绿化提升工程（兴文道至一中段）绩效目标表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本项目建成后，对提高人民群众生活质量、树立城市形象、优化投资环境等方面都将有明显的提高，而且净化空气、减弱噪音、减尘、改善小气候环境、防风等作用，具有一定的经济效益和社会效益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项目建设内容和规模符合城市总体规划及城市园林绿地系统专项规划，工程技术合理。</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城镇建设水平的提高，对环境质量提出了新的要求。</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37、公园运行及电费绩效目标表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保障城区内公园内的环境卫生干净整洁，公共基础设施完好。</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加强公园建设和管理工作，对于进一步改善城市生态环境，提高广大人民群众的生活质量具有十分重要的意义。</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城市绿化建设的目的不仅是美化市容市貌</w:t>
            </w:r>
            <w:r>
              <w:rPr>
                <w:rFonts w:ascii="方正书宋_GBK" w:eastAsia="方正书宋_GBK"/>
              </w:rPr>
              <w:t>,</w:t>
            </w:r>
            <w:r>
              <w:rPr>
                <w:rFonts w:hint="eastAsia" w:ascii="方正书宋_GBK" w:eastAsia="方正书宋_GBK"/>
              </w:rPr>
              <w:t>给人们带来赏心悦目的感觉</w:t>
            </w:r>
            <w:r>
              <w:rPr>
                <w:rFonts w:ascii="方正书宋_GBK" w:eastAsia="方正书宋_GBK"/>
              </w:rPr>
              <w:t>,</w:t>
            </w:r>
            <w:r>
              <w:rPr>
                <w:rFonts w:hint="eastAsia" w:ascii="方正书宋_GBK" w:eastAsia="方正书宋_GBK"/>
              </w:rPr>
              <w:t>更重要的是给人们创造出一个更适合人类居住的生存环境</w:t>
            </w:r>
            <w:r>
              <w:rPr>
                <w:rFonts w:ascii="方正书宋_GBK" w:eastAsia="方正书宋_GBK"/>
              </w:rPr>
              <w:t>,</w:t>
            </w:r>
            <w:r>
              <w:rPr>
                <w:rFonts w:hint="eastAsia" w:ascii="方正书宋_GBK" w:eastAsia="方正书宋_GBK"/>
              </w:rPr>
              <w:t>从而有益于人们的身心健康。</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38、文安县左各庄生活垃圾处理费绩效目标表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提高城市垃圾的无害化处理水平，切实改善居民生活环境。</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垃圾处理场的运营，使县城环境容貌得到较大的改善，其收运和垃圾处理增加了就业机会，城市的面貌和环境的改善，将提高经济发展的需要。</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通过项目的实施，可持续地改善垃圾收集转运及提高处理效率，提高人民生活质量，项目实施后社会效益经济效益，环境资产凸显，具有可持续性。</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服务对象满意人数占服务群众总人数比率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实地走访</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39、曙光路绿化工程（世纪大道至静王线）绩效目标表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本项目建成后，对提高人民群众生活质量、树立城市形象、优化投资环境等方面都将有明显的提高，而且净化空气、减弱噪音、减尘、改善小气候环境、防风等作用，具有一定的经济效益和社会效益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项目建设内容和规模符合城市总体规划及城市园林绿地系统专项规划，工程技术合理。</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城镇建设水平的提高，对环境质量提出了新的要求。</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40、文安县供电局宿舍楼北街整体改造提升前期费用绩效目标表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目建设能带来巨大的社会效益、经济效益和生态效益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加强公共基础设施建设，着力打造绿色宜居城市的需要</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城镇建设水平的提高，对环境质量提出了新的要求。</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41、文安县中心便民市场工程前期费用绩效目标表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目建设能带来巨大的社会效益、经济效益和生态效益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加强公共基础设施建设，着力打造绿色宜居城市的需要</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城镇建设水平的提高，对环境质量提出了新的要求。</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42、曙光路绿化工程（世纪大道至迎宾大道）绩效目标表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本项目建成后，对提高人民群众生活质量、树立城市形象、优化投资环境等方面都将有明显的提高，而且净化空气、减弱噪音、减尘、改善小气候环境、防风等作用，具有一定的经济效益和社会效益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项目建设内容和规模符合城市总体规划及城市园林绿地系统专项规划，工程技术合理。</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城镇建设水平的提高，对环境质量提出了新的要求。</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43、西关市场改造提升项目前期费用绩效目标表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目建设能带来巨大的社会效益、经济效益和生态效益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加强公共基础设施建设，着力打造绿色宜居城市的需要</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城镇建设水平的提高，对环境质量提出了新的要求。</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44、公园运行及电费绩效目标表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保障城区内公园内的环境卫生干净整洁，公共基础设施完好。</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加强公园建设和管理工作，对于进一步改善城市生态环境，提高广大人民群众的生活质量具有十分重要的意义。</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城市绿化建设的目的不仅是美化市容市貌</w:t>
            </w:r>
            <w:r>
              <w:rPr>
                <w:rFonts w:ascii="方正书宋_GBK" w:eastAsia="方正书宋_GBK"/>
              </w:rPr>
              <w:t>,</w:t>
            </w:r>
            <w:r>
              <w:rPr>
                <w:rFonts w:hint="eastAsia" w:ascii="方正书宋_GBK" w:eastAsia="方正书宋_GBK"/>
              </w:rPr>
              <w:t>给人们带来赏心悦目的感觉</w:t>
            </w:r>
            <w:r>
              <w:rPr>
                <w:rFonts w:ascii="方正书宋_GBK" w:eastAsia="方正书宋_GBK"/>
              </w:rPr>
              <w:t>,</w:t>
            </w:r>
            <w:r>
              <w:rPr>
                <w:rFonts w:hint="eastAsia" w:ascii="方正书宋_GBK" w:eastAsia="方正书宋_GBK"/>
              </w:rPr>
              <w:t>更重要的是给人们创造出一个更适合人类居住的生存环境</w:t>
            </w:r>
            <w:r>
              <w:rPr>
                <w:rFonts w:ascii="方正书宋_GBK" w:eastAsia="方正书宋_GBK"/>
              </w:rPr>
              <w:t>,</w:t>
            </w:r>
            <w:r>
              <w:rPr>
                <w:rFonts w:hint="eastAsia" w:ascii="方正书宋_GBK" w:eastAsia="方正书宋_GBK"/>
              </w:rPr>
              <w:t>从而有益于人们的身心健康。</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实地走访</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45、文安县停车场前期费用绩效目标表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目建设能带来巨大的社会效益、经济效益和生态效益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加强公共基础设施建设，着力打造绿色宜居城市的需要</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城镇建设水平的提高，对环境质量提出了新的要求。</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46、左各庄生活垃圾处理费绩效目标表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提高城市垃圾的无害化处理水平，切实改善居民生活环境。</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w:t>
            </w:r>
            <w:r>
              <w:rPr>
                <w:rFonts w:ascii="方正书宋_GBK" w:eastAsia="方正书宋_GBK"/>
              </w:rPr>
              <w:tab/>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垃圾处理场的运营，使县城环境容貌得到较大的改善，其收运和垃圾处理增加了就业机会，城市的面貌和环境的改善，将提高经济发展的需要。</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通过项目的实施，可持续地改善垃圾收集转运及提高处理效率，提高人民生活质量，项目实施后社会效益经济效益，环境资产凸显，具有可持续性。</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实地调查</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47、文安县城区兴文道牌匾制作服务绩效目标表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目建设能带来巨大的社会效益、经济效益和生态效益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加强公共基础设施建设，着力打造绿色宜居城市的需要</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城镇建设水平的提高，对环境质量提出了新的要求。</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48、数字化城市管理平台建设维护项目资金绩效目标表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数字化城市管理是落实科学发展观的具体体现。科学发展观的核心是以人为来，这就决定了城市管理的工作重点是为了解决人民群众在城市管理领域关注的涉及切身利益的问题。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数字化城市管理是公众参与城市管理的重要途径。数字化城市管理将城市部件准确定位并编码，并通过城市管理坚督员全天不间断巡查，不仅可以及时发现并上报各种城市部件和事件信息，还可以在很短时间内完成对某类城市管理对象的专项普查；不仅可以及时发现问题，而且可以及时处理问题从而为维护城市公共安全提供了可靠保障，提高了区域内群众的安全感。</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数字化城市管理彻底改变了城市管理的理念、流程和方法，对于提高城市管理水平、解决城市安全问题、维护区域内市民的根本利益，具有重要意义。</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49、园林绿化养护经费绩效目标表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大力发展城市绿化工作，能够大大提高城市的品位和档次，树立良好的城市形象，增强城市的凝聚力，聚集人才、聚集资金、聚集技术、聚集有利于发展的要素，提升城市综合竞争力，极大地推动改革开放和经济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城市绿化，不仅是满足人民生活水平不断提高的需要，也是落实全面建设小康社会宏伟目标的重要措施。</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城市绿化是衡量一个城市现代化和文明程度的重要标志。注重生态保护、资源综合利用、人与自然和谐</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实地走访</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50、2020年城区春节亮化资金绩效目标表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全面提升城区夜景亮化水平，改善人居环境，提高城市形象。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努力推进城区夜景亮化建设，实现传统与现代相结合、烘托节日气氛与平时亮化相结合，努力为广大市民创造光明、平安、和谐的居住环境和优美的城市夜景。</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保障亮化项目的顺利实施。</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51、曙光路绿化工程监理（世纪大道至迎宾大道）绩效目标表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项目建设能带来巨大的社会效益、经济效益和生态效益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加强公共基础设施建设，着力打造绿色宜居城市的需要</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城镇建设水平的提高，对环境质量提出了新的要求。</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52、文安县林业局水景公园（二期）、世纪大道（转盘以东）绿化养护项目绩效目标表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项目建设能带来巨大的社会效益、经济效益和生态效益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加强公共基础设施建设，着力打造绿色宜居城市的需要</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城镇建设水平的提高，对环境质量提出了新的要求。</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受益群体的满意度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53、公用经费绩效目标表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完成城管工作人员对办公用品的需求。</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确保城管工作的正常运转。</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确保执法工作的正常进行。</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服务对象满意度提高</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54、世纪大道绿化工程监理绩效目标表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项目建设能带来巨大的社会效益、经济效益和生态效益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加强公共基础设施建设，着力打造绿色宜居城市的需要</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城镇建设水平的提高，对环境质量提出了新的要求。</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受益群体的满意度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55、文安县城区行道树补植工程绩效目标表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项目建设能带来巨大的社会效益、经济效益和生态效益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加强公共基础设施建设，着力打造绿色宜居城市的需要</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城镇建设水平的提高，对环境质量提出了新的要求。</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9"/>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ascii="方正书宋_GBK" w:eastAsia="方正书宋_GBK"/>
              </w:rPr>
            </w:pPr>
            <w:r>
              <w:rPr>
                <w:rFonts w:ascii="方正书宋_GBK" w:eastAsia="方正书宋_GBK"/>
              </w:rPr>
              <w:t>0</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noWrap w:val="0"/>
            <w:vAlign w:val="center"/>
          </w:tcPr>
          <w:p>
            <w:pPr>
              <w:spacing w:line="300" w:lineRule="exact"/>
              <w:jc w:val="left"/>
              <w:rPr>
                <w:rFonts w:ascii="方正书宋_GBK" w:eastAsia="方正书宋_GBK"/>
              </w:rPr>
            </w:pPr>
          </w:p>
        </w:tc>
      </w:tr>
      <w:bookmarkEnd w:id="0"/>
    </w:tbl>
    <w:p>
      <w:pPr>
        <w:spacing w:before="0" w:after="0" w:line="240" w:lineRule="auto"/>
        <w:ind w:firstLine="0"/>
        <w:jc w:val="both"/>
        <w:outlineLvl w:val="9"/>
        <w:sectPr>
          <w:pgSz w:w="16840" w:h="11900" w:orient="landscape"/>
          <w:pgMar w:top="1304" w:right="1984" w:bottom="1304" w:left="1134" w:header="720" w:footer="720" w:gutter="0"/>
          <w:cols w:space="720" w:num="1"/>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1</w:t>
      </w:r>
      <w:r>
        <w:rPr>
          <w:rFonts w:ascii="Times New Roman" w:hAnsi="Times New Roman" w:eastAsia="仿宋_GB2312" w:cs="Times New Roman"/>
          <w:sz w:val="32"/>
          <w:szCs w:val="24"/>
        </w:rPr>
        <w:t>年，</w:t>
      </w:r>
      <w:r>
        <w:rPr>
          <w:rFonts w:hint="eastAsia" w:ascii="Times New Roman" w:hAnsi="Times New Roman" w:eastAsia="仿宋_GB2312" w:cs="Times New Roman"/>
          <w:sz w:val="32"/>
          <w:szCs w:val="24"/>
          <w:lang w:eastAsia="zh-CN"/>
        </w:rPr>
        <w:t>文安县城市管理综合行政执法局本级</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204</w:t>
      </w:r>
      <w:r>
        <w:rPr>
          <w:rFonts w:ascii="Times New Roman" w:hAnsi="Times New Roman" w:eastAsia="仿宋_GB2312" w:cs="Times New Roman"/>
          <w:sz w:val="32"/>
          <w:szCs w:val="24"/>
        </w:rPr>
        <w:t>万元。具体内容见下表。</w:t>
      </w:r>
      <w:bookmarkEnd w:id="1"/>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tbl>
      <w:tblPr>
        <w:tblStyle w:val="9"/>
        <w:tblW w:w="146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34"/>
        <w:gridCol w:w="1093"/>
        <w:gridCol w:w="1479"/>
        <w:gridCol w:w="1628"/>
        <w:gridCol w:w="750"/>
        <w:gridCol w:w="879"/>
        <w:gridCol w:w="916"/>
        <w:gridCol w:w="1134"/>
        <w:gridCol w:w="1134"/>
        <w:gridCol w:w="968"/>
        <w:gridCol w:w="1300"/>
        <w:gridCol w:w="984"/>
        <w:gridCol w:w="7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379"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sz w:val="24"/>
                <w:lang w:eastAsia="zh-CN"/>
              </w:rPr>
              <w:t>文安县城市管理综合行政执法局本级</w:t>
            </w:r>
          </w:p>
        </w:tc>
        <w:tc>
          <w:tcPr>
            <w:tcW w:w="63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727"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47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628"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50"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87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16"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311"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w:t>
            </w:r>
            <w:r>
              <w:rPr>
                <w:rFonts w:hint="eastAsia" w:ascii="方正书宋_GBK" w:eastAsia="方正书宋_GBK" w:cs="Times New Roman"/>
                <w:b/>
                <w:lang w:eastAsia="zh-CN"/>
              </w:rPr>
              <w:t>单位</w:t>
            </w:r>
            <w:r>
              <w:rPr>
                <w:rFonts w:ascii="方正书宋_GBK" w:eastAsia="方正书宋_GBK" w:cs="Times New Roman"/>
                <w:b/>
              </w:rPr>
              <w:t>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6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093"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479" w:type="dxa"/>
            <w:vMerge w:val="continue"/>
            <w:shd w:val="clear" w:color="auto" w:fill="auto"/>
            <w:vAlign w:val="center"/>
          </w:tcPr>
          <w:p/>
        </w:tc>
        <w:tc>
          <w:tcPr>
            <w:tcW w:w="1628" w:type="dxa"/>
            <w:vMerge w:val="continue"/>
            <w:shd w:val="clear" w:color="auto" w:fill="auto"/>
            <w:vAlign w:val="center"/>
          </w:tcPr>
          <w:p/>
        </w:tc>
        <w:tc>
          <w:tcPr>
            <w:tcW w:w="750" w:type="dxa"/>
            <w:vMerge w:val="continue"/>
            <w:shd w:val="clear" w:color="auto" w:fill="auto"/>
            <w:vAlign w:val="center"/>
          </w:tcPr>
          <w:p/>
        </w:tc>
        <w:tc>
          <w:tcPr>
            <w:tcW w:w="879" w:type="dxa"/>
            <w:vMerge w:val="continue"/>
            <w:shd w:val="clear" w:color="auto" w:fill="auto"/>
            <w:vAlign w:val="center"/>
          </w:tcPr>
          <w:p/>
        </w:tc>
        <w:tc>
          <w:tcPr>
            <w:tcW w:w="916"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968"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300"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791"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093"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204.00</w:t>
            </w:r>
          </w:p>
        </w:tc>
        <w:tc>
          <w:tcPr>
            <w:tcW w:w="1479" w:type="dxa"/>
            <w:shd w:val="clear" w:color="auto" w:fill="auto"/>
            <w:vAlign w:val="center"/>
          </w:tcPr>
          <w:p>
            <w:pPr>
              <w:spacing w:line="300" w:lineRule="exact"/>
              <w:jc w:val="left"/>
              <w:rPr>
                <w:rFonts w:ascii="方正书宋_GBK" w:eastAsia="方正书宋_GBK" w:cs="Times New Roman"/>
                <w:b/>
              </w:rPr>
            </w:pPr>
          </w:p>
        </w:tc>
        <w:tc>
          <w:tcPr>
            <w:tcW w:w="1628" w:type="dxa"/>
            <w:shd w:val="clear" w:color="auto" w:fill="auto"/>
            <w:vAlign w:val="center"/>
          </w:tcPr>
          <w:p>
            <w:pPr>
              <w:spacing w:line="300" w:lineRule="exact"/>
              <w:jc w:val="left"/>
              <w:rPr>
                <w:rFonts w:ascii="方正书宋_GBK" w:eastAsia="方正书宋_GBK" w:cs="Times New Roman"/>
                <w:b/>
              </w:rPr>
            </w:pPr>
          </w:p>
        </w:tc>
        <w:tc>
          <w:tcPr>
            <w:tcW w:w="750" w:type="dxa"/>
            <w:shd w:val="clear" w:color="auto" w:fill="auto"/>
            <w:vAlign w:val="center"/>
          </w:tcPr>
          <w:p>
            <w:pPr>
              <w:spacing w:line="300" w:lineRule="exact"/>
              <w:jc w:val="center"/>
              <w:rPr>
                <w:rFonts w:ascii="方正书宋_GBK" w:eastAsia="方正书宋_GBK" w:cs="Times New Roman"/>
                <w:b/>
              </w:rPr>
            </w:pPr>
          </w:p>
        </w:tc>
        <w:tc>
          <w:tcPr>
            <w:tcW w:w="879" w:type="dxa"/>
            <w:shd w:val="clear" w:color="auto" w:fill="auto"/>
            <w:vAlign w:val="center"/>
          </w:tcPr>
          <w:p>
            <w:pPr>
              <w:spacing w:line="300" w:lineRule="exact"/>
              <w:jc w:val="right"/>
              <w:rPr>
                <w:rFonts w:ascii="方正书宋_GBK" w:eastAsia="方正书宋_GBK" w:cs="Times New Roman"/>
                <w:b/>
              </w:rPr>
            </w:pPr>
          </w:p>
        </w:tc>
        <w:tc>
          <w:tcPr>
            <w:tcW w:w="916"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204.00</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204.00</w:t>
            </w:r>
          </w:p>
        </w:tc>
        <w:tc>
          <w:tcPr>
            <w:tcW w:w="968" w:type="dxa"/>
            <w:shd w:val="clear" w:color="auto" w:fill="auto"/>
            <w:vAlign w:val="center"/>
          </w:tcPr>
          <w:p>
            <w:pPr>
              <w:spacing w:line="300" w:lineRule="exact"/>
              <w:jc w:val="right"/>
              <w:rPr>
                <w:rFonts w:ascii="方正书宋_GBK" w:eastAsia="方正书宋_GBK" w:cs="Times New Roman"/>
                <w:b/>
              </w:rPr>
            </w:pPr>
          </w:p>
        </w:tc>
        <w:tc>
          <w:tcPr>
            <w:tcW w:w="1300" w:type="dxa"/>
            <w:shd w:val="clear" w:color="auto" w:fill="auto"/>
            <w:vAlign w:val="center"/>
          </w:tcPr>
          <w:p>
            <w:pPr>
              <w:spacing w:line="300" w:lineRule="exact"/>
              <w:jc w:val="right"/>
              <w:rPr>
                <w:rFonts w:ascii="方正书宋_GBK" w:eastAsia="方正书宋_GBK" w:cs="Times New Roman"/>
                <w:b/>
              </w:rPr>
            </w:pPr>
          </w:p>
        </w:tc>
        <w:tc>
          <w:tcPr>
            <w:tcW w:w="984" w:type="dxa"/>
            <w:shd w:val="clear" w:color="auto" w:fill="auto"/>
            <w:vAlign w:val="center"/>
          </w:tcPr>
          <w:p>
            <w:pPr>
              <w:spacing w:line="300" w:lineRule="exact"/>
              <w:jc w:val="right"/>
              <w:rPr>
                <w:rFonts w:ascii="方正书宋_GBK" w:eastAsia="方正书宋_GBK" w:cs="Times New Roman"/>
                <w:b/>
              </w:rPr>
            </w:pPr>
          </w:p>
        </w:tc>
        <w:tc>
          <w:tcPr>
            <w:tcW w:w="791"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34" w:type="dxa"/>
            <w:shd w:val="clear" w:color="auto" w:fill="auto"/>
            <w:vAlign w:val="center"/>
          </w:tcPr>
          <w:p>
            <w:pPr>
              <w:spacing w:line="300" w:lineRule="exact"/>
              <w:jc w:val="center"/>
              <w:rPr>
                <w:rFonts w:hint="eastAsia" w:ascii="方正书宋_GBK" w:eastAsia="方正书宋_GBK" w:cs="Times New Roman"/>
                <w:lang w:eastAsia="zh-CN"/>
              </w:rPr>
            </w:pPr>
            <w:r>
              <w:rPr>
                <w:rFonts w:hint="eastAsia" w:ascii="方正书宋_GBK" w:eastAsia="方正书宋_GBK" w:cs="Times New Roman"/>
                <w:lang w:eastAsia="zh-CN"/>
              </w:rPr>
              <w:t>农村生活垃圾分类处理经费</w:t>
            </w:r>
          </w:p>
        </w:tc>
        <w:tc>
          <w:tcPr>
            <w:tcW w:w="1093"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93.00</w:t>
            </w:r>
          </w:p>
        </w:tc>
        <w:tc>
          <w:tcPr>
            <w:tcW w:w="1479" w:type="dxa"/>
            <w:shd w:val="clear" w:color="auto" w:fill="auto"/>
            <w:vAlign w:val="center"/>
          </w:tcPr>
          <w:p>
            <w:pPr>
              <w:spacing w:line="300" w:lineRule="exact"/>
              <w:jc w:val="left"/>
              <w:rPr>
                <w:rFonts w:hint="eastAsia" w:ascii="方正书宋_GBK" w:eastAsia="方正书宋_GBK" w:cs="Times New Roman"/>
                <w:lang w:eastAsia="zh-CN"/>
              </w:rPr>
            </w:pPr>
            <w:r>
              <w:rPr>
                <w:rFonts w:hint="eastAsia" w:ascii="方正书宋_GBK" w:eastAsia="方正书宋_GBK" w:cs="Times New Roman"/>
                <w:lang w:eastAsia="zh-CN"/>
              </w:rPr>
              <w:t>垃圾车</w:t>
            </w:r>
          </w:p>
        </w:tc>
        <w:tc>
          <w:tcPr>
            <w:tcW w:w="1628" w:type="dxa"/>
            <w:shd w:val="clear" w:color="auto" w:fill="auto"/>
            <w:vAlign w:val="center"/>
          </w:tcPr>
          <w:p>
            <w:pPr>
              <w:spacing w:line="300" w:lineRule="exact"/>
              <w:jc w:val="left"/>
              <w:rPr>
                <w:rFonts w:hint="default" w:ascii="方正书宋_GBK" w:eastAsia="方正书宋_GBK" w:cs="Times New Roman"/>
                <w:lang w:val="en-US" w:eastAsia="zh-CN"/>
              </w:rPr>
            </w:pPr>
            <w:r>
              <w:rPr>
                <w:rFonts w:hint="eastAsia" w:ascii="方正书宋_GBK" w:eastAsia="方正书宋_GBK" w:cs="Times New Roman"/>
                <w:lang w:val="en-US" w:eastAsia="zh-CN"/>
              </w:rPr>
              <w:t>A0203072801</w:t>
            </w:r>
          </w:p>
        </w:tc>
        <w:tc>
          <w:tcPr>
            <w:tcW w:w="750" w:type="dxa"/>
            <w:shd w:val="clear" w:color="auto" w:fill="auto"/>
            <w:vAlign w:val="center"/>
          </w:tcPr>
          <w:p>
            <w:pPr>
              <w:spacing w:line="300" w:lineRule="exact"/>
              <w:jc w:val="center"/>
              <w:rPr>
                <w:rFonts w:hint="eastAsia" w:ascii="方正书宋_GBK" w:eastAsia="方正书宋_GBK" w:cs="Times New Roman"/>
                <w:lang w:eastAsia="zh-CN"/>
              </w:rPr>
            </w:pPr>
            <w:r>
              <w:rPr>
                <w:rFonts w:hint="eastAsia" w:ascii="方正书宋_GBK" w:eastAsia="方正书宋_GBK" w:cs="Times New Roman"/>
                <w:lang w:eastAsia="zh-CN"/>
              </w:rPr>
              <w:t>辆</w:t>
            </w:r>
          </w:p>
        </w:tc>
        <w:tc>
          <w:tcPr>
            <w:tcW w:w="879" w:type="dxa"/>
            <w:shd w:val="clear" w:color="auto" w:fill="auto"/>
            <w:vAlign w:val="center"/>
          </w:tcPr>
          <w:p>
            <w:pPr>
              <w:spacing w:line="300" w:lineRule="exact"/>
              <w:jc w:val="right"/>
              <w:rPr>
                <w:rFonts w:hint="eastAsia" w:ascii="方正书宋_GBK" w:eastAsia="方正书宋_GBK" w:cs="Times New Roman"/>
                <w:lang w:val="en-US" w:eastAsia="zh-CN"/>
              </w:rPr>
            </w:pPr>
            <w:r>
              <w:rPr>
                <w:rFonts w:hint="eastAsia" w:ascii="方正书宋_GBK" w:eastAsia="方正书宋_GBK" w:cs="Times New Roman"/>
                <w:lang w:val="en-US" w:eastAsia="zh-CN"/>
              </w:rPr>
              <w:t>3</w:t>
            </w:r>
          </w:p>
        </w:tc>
        <w:tc>
          <w:tcPr>
            <w:tcW w:w="916"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31</w:t>
            </w:r>
          </w:p>
        </w:tc>
        <w:tc>
          <w:tcPr>
            <w:tcW w:w="1134"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93.00</w:t>
            </w:r>
          </w:p>
        </w:tc>
        <w:tc>
          <w:tcPr>
            <w:tcW w:w="1134"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93.00</w:t>
            </w:r>
          </w:p>
        </w:tc>
        <w:tc>
          <w:tcPr>
            <w:tcW w:w="968" w:type="dxa"/>
            <w:shd w:val="clear" w:color="auto" w:fill="auto"/>
            <w:vAlign w:val="center"/>
          </w:tcPr>
          <w:p>
            <w:pPr>
              <w:spacing w:line="300" w:lineRule="exact"/>
              <w:jc w:val="right"/>
              <w:rPr>
                <w:rFonts w:ascii="方正书宋_GBK" w:eastAsia="方正书宋_GBK" w:cs="Times New Roman"/>
              </w:rPr>
            </w:pPr>
          </w:p>
        </w:tc>
        <w:tc>
          <w:tcPr>
            <w:tcW w:w="1300" w:type="dxa"/>
            <w:shd w:val="clear" w:color="auto" w:fill="auto"/>
            <w:vAlign w:val="center"/>
          </w:tcPr>
          <w:p>
            <w:pPr>
              <w:spacing w:line="300" w:lineRule="exact"/>
              <w:jc w:val="right"/>
              <w:rPr>
                <w:rFonts w:ascii="方正书宋_GBK" w:eastAsia="方正书宋_GBK" w:cs="Times New Roman"/>
              </w:rPr>
            </w:pPr>
          </w:p>
        </w:tc>
        <w:tc>
          <w:tcPr>
            <w:tcW w:w="984" w:type="dxa"/>
            <w:shd w:val="clear" w:color="auto" w:fill="auto"/>
            <w:vAlign w:val="center"/>
          </w:tcPr>
          <w:p>
            <w:pPr>
              <w:spacing w:line="300" w:lineRule="exact"/>
              <w:jc w:val="right"/>
              <w:rPr>
                <w:rFonts w:ascii="方正书宋_GBK" w:eastAsia="方正书宋_GBK" w:cs="Times New Roman"/>
              </w:rPr>
            </w:pPr>
          </w:p>
        </w:tc>
        <w:tc>
          <w:tcPr>
            <w:tcW w:w="791"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34" w:type="dxa"/>
            <w:shd w:val="clear" w:color="auto" w:fill="auto"/>
            <w:vAlign w:val="center"/>
          </w:tcPr>
          <w:p>
            <w:pPr>
              <w:spacing w:line="300" w:lineRule="exact"/>
              <w:jc w:val="center"/>
              <w:rPr>
                <w:rFonts w:hint="eastAsia" w:ascii="方正书宋_GBK" w:hAnsi="Calibri" w:eastAsia="方正书宋_GBK" w:cs="Times New Roman"/>
                <w:kern w:val="2"/>
                <w:sz w:val="21"/>
                <w:szCs w:val="22"/>
                <w:lang w:val="en-US" w:eastAsia="zh-CN" w:bidi="ar-SA"/>
              </w:rPr>
            </w:pPr>
            <w:r>
              <w:rPr>
                <w:rFonts w:hint="eastAsia" w:ascii="方正书宋_GBK" w:eastAsia="方正书宋_GBK" w:cs="Times New Roman"/>
                <w:lang w:eastAsia="zh-CN"/>
              </w:rPr>
              <w:t>农村生活垃圾分类处理经费</w:t>
            </w:r>
          </w:p>
        </w:tc>
        <w:tc>
          <w:tcPr>
            <w:tcW w:w="1093"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75.00</w:t>
            </w:r>
          </w:p>
        </w:tc>
        <w:tc>
          <w:tcPr>
            <w:tcW w:w="1479" w:type="dxa"/>
            <w:shd w:val="clear" w:color="auto" w:fill="auto"/>
            <w:vAlign w:val="center"/>
          </w:tcPr>
          <w:p>
            <w:pPr>
              <w:spacing w:line="300" w:lineRule="exact"/>
              <w:jc w:val="left"/>
              <w:rPr>
                <w:rFonts w:hint="eastAsia" w:ascii="方正书宋_GBK" w:eastAsia="方正书宋_GBK" w:cs="Times New Roman"/>
                <w:lang w:eastAsia="zh-CN"/>
              </w:rPr>
            </w:pPr>
            <w:r>
              <w:rPr>
                <w:rFonts w:hint="eastAsia" w:ascii="方正书宋_GBK" w:eastAsia="方正书宋_GBK" w:cs="Times New Roman"/>
                <w:lang w:eastAsia="zh-CN"/>
              </w:rPr>
              <w:t>正三轮摩托车</w:t>
            </w:r>
          </w:p>
        </w:tc>
        <w:tc>
          <w:tcPr>
            <w:tcW w:w="1628" w:type="dxa"/>
            <w:shd w:val="clear" w:color="auto" w:fill="auto"/>
            <w:vAlign w:val="center"/>
          </w:tcPr>
          <w:p>
            <w:pPr>
              <w:spacing w:line="300" w:lineRule="exact"/>
              <w:jc w:val="left"/>
              <w:rPr>
                <w:rFonts w:hint="default" w:ascii="方正书宋_GBK" w:eastAsia="方正书宋_GBK" w:cs="Times New Roman"/>
                <w:lang w:val="en-US" w:eastAsia="zh-CN"/>
              </w:rPr>
            </w:pPr>
            <w:r>
              <w:rPr>
                <w:rFonts w:hint="eastAsia" w:ascii="方正书宋_GBK" w:eastAsia="方正书宋_GBK" w:cs="Times New Roman"/>
                <w:lang w:val="en-US" w:eastAsia="zh-CN"/>
              </w:rPr>
              <w:t>A0203090201</w:t>
            </w:r>
          </w:p>
        </w:tc>
        <w:tc>
          <w:tcPr>
            <w:tcW w:w="750" w:type="dxa"/>
            <w:shd w:val="clear" w:color="auto" w:fill="auto"/>
            <w:vAlign w:val="center"/>
          </w:tcPr>
          <w:p>
            <w:pPr>
              <w:spacing w:line="300" w:lineRule="exact"/>
              <w:jc w:val="center"/>
              <w:rPr>
                <w:rFonts w:hint="default" w:ascii="方正书宋_GBK" w:eastAsia="方正书宋_GBK" w:cs="Times New Roman"/>
                <w:lang w:val="en-US" w:eastAsia="zh-CN"/>
              </w:rPr>
            </w:pPr>
            <w:r>
              <w:rPr>
                <w:rFonts w:hint="eastAsia" w:ascii="方正书宋_GBK" w:eastAsia="方正书宋_GBK" w:cs="Times New Roman"/>
                <w:lang w:val="en-US" w:eastAsia="zh-CN"/>
              </w:rPr>
              <w:t>辆</w:t>
            </w:r>
          </w:p>
        </w:tc>
        <w:tc>
          <w:tcPr>
            <w:tcW w:w="879"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150</w:t>
            </w:r>
          </w:p>
        </w:tc>
        <w:tc>
          <w:tcPr>
            <w:tcW w:w="916"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0.5</w:t>
            </w:r>
          </w:p>
        </w:tc>
        <w:tc>
          <w:tcPr>
            <w:tcW w:w="1134"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75.00</w:t>
            </w:r>
          </w:p>
        </w:tc>
        <w:tc>
          <w:tcPr>
            <w:tcW w:w="1134"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75.00</w:t>
            </w:r>
          </w:p>
        </w:tc>
        <w:tc>
          <w:tcPr>
            <w:tcW w:w="968" w:type="dxa"/>
            <w:shd w:val="clear" w:color="auto" w:fill="auto"/>
            <w:vAlign w:val="center"/>
          </w:tcPr>
          <w:p>
            <w:pPr>
              <w:spacing w:line="300" w:lineRule="exact"/>
              <w:jc w:val="right"/>
              <w:rPr>
                <w:rFonts w:ascii="方正书宋_GBK" w:eastAsia="方正书宋_GBK" w:cs="Times New Roman"/>
              </w:rPr>
            </w:pPr>
          </w:p>
        </w:tc>
        <w:tc>
          <w:tcPr>
            <w:tcW w:w="1300" w:type="dxa"/>
            <w:shd w:val="clear" w:color="auto" w:fill="auto"/>
            <w:vAlign w:val="center"/>
          </w:tcPr>
          <w:p>
            <w:pPr>
              <w:spacing w:line="300" w:lineRule="exact"/>
              <w:jc w:val="right"/>
              <w:rPr>
                <w:rFonts w:ascii="方正书宋_GBK" w:eastAsia="方正书宋_GBK" w:cs="Times New Roman"/>
              </w:rPr>
            </w:pPr>
          </w:p>
        </w:tc>
        <w:tc>
          <w:tcPr>
            <w:tcW w:w="984" w:type="dxa"/>
            <w:shd w:val="clear" w:color="auto" w:fill="auto"/>
            <w:vAlign w:val="center"/>
          </w:tcPr>
          <w:p>
            <w:pPr>
              <w:spacing w:line="300" w:lineRule="exact"/>
              <w:jc w:val="right"/>
              <w:rPr>
                <w:rFonts w:ascii="方正书宋_GBK" w:eastAsia="方正书宋_GBK" w:cs="Times New Roman"/>
              </w:rPr>
            </w:pPr>
          </w:p>
        </w:tc>
        <w:tc>
          <w:tcPr>
            <w:tcW w:w="791"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34" w:type="dxa"/>
            <w:shd w:val="clear" w:color="auto" w:fill="auto"/>
            <w:vAlign w:val="center"/>
          </w:tcPr>
          <w:p>
            <w:pPr>
              <w:spacing w:line="300" w:lineRule="exact"/>
              <w:jc w:val="center"/>
              <w:rPr>
                <w:rFonts w:hint="eastAsia" w:ascii="方正书宋_GBK" w:hAnsi="Calibri" w:eastAsia="方正书宋_GBK" w:cs="Times New Roman"/>
                <w:kern w:val="2"/>
                <w:sz w:val="21"/>
                <w:szCs w:val="22"/>
                <w:lang w:val="en-US" w:eastAsia="zh-CN" w:bidi="ar-SA"/>
              </w:rPr>
            </w:pPr>
            <w:r>
              <w:rPr>
                <w:rFonts w:hint="eastAsia" w:ascii="方正书宋_GBK" w:eastAsia="方正书宋_GBK" w:cs="Times New Roman"/>
                <w:lang w:eastAsia="zh-CN"/>
              </w:rPr>
              <w:t>农村生活垃圾分类处理经费</w:t>
            </w:r>
          </w:p>
        </w:tc>
        <w:tc>
          <w:tcPr>
            <w:tcW w:w="1093"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20.00</w:t>
            </w:r>
          </w:p>
        </w:tc>
        <w:tc>
          <w:tcPr>
            <w:tcW w:w="1479" w:type="dxa"/>
            <w:shd w:val="clear" w:color="auto" w:fill="auto"/>
            <w:vAlign w:val="center"/>
          </w:tcPr>
          <w:p>
            <w:pPr>
              <w:spacing w:line="300" w:lineRule="exact"/>
              <w:jc w:val="left"/>
              <w:rPr>
                <w:rFonts w:hint="eastAsia" w:ascii="方正书宋_GBK" w:eastAsia="方正书宋_GBK" w:cs="Times New Roman"/>
                <w:lang w:eastAsia="zh-CN"/>
              </w:rPr>
            </w:pPr>
            <w:r>
              <w:rPr>
                <w:rFonts w:hint="eastAsia" w:ascii="方正书宋_GBK" w:eastAsia="方正书宋_GBK" w:cs="Times New Roman"/>
                <w:lang w:eastAsia="zh-CN"/>
              </w:rPr>
              <w:t>垃圾容器</w:t>
            </w:r>
          </w:p>
        </w:tc>
        <w:tc>
          <w:tcPr>
            <w:tcW w:w="1628" w:type="dxa"/>
            <w:shd w:val="clear" w:color="auto" w:fill="auto"/>
            <w:vAlign w:val="center"/>
          </w:tcPr>
          <w:p>
            <w:pPr>
              <w:spacing w:line="300" w:lineRule="exact"/>
              <w:jc w:val="left"/>
              <w:rPr>
                <w:rFonts w:hint="default" w:ascii="方正书宋_GBK" w:eastAsia="方正书宋_GBK" w:cs="Times New Roman"/>
                <w:lang w:val="en-US" w:eastAsia="zh-CN"/>
              </w:rPr>
            </w:pPr>
            <w:r>
              <w:rPr>
                <w:rFonts w:hint="eastAsia" w:ascii="方正书宋_GBK" w:eastAsia="方正书宋_GBK" w:cs="Times New Roman"/>
                <w:lang w:val="en-US" w:eastAsia="zh-CN"/>
              </w:rPr>
              <w:t>A9901</w:t>
            </w:r>
          </w:p>
        </w:tc>
        <w:tc>
          <w:tcPr>
            <w:tcW w:w="750" w:type="dxa"/>
            <w:shd w:val="clear" w:color="auto" w:fill="auto"/>
            <w:vAlign w:val="center"/>
          </w:tcPr>
          <w:p>
            <w:pPr>
              <w:spacing w:line="300" w:lineRule="exact"/>
              <w:jc w:val="center"/>
              <w:rPr>
                <w:rFonts w:hint="eastAsia" w:ascii="方正书宋_GBK" w:eastAsia="方正书宋_GBK" w:cs="Times New Roman"/>
                <w:lang w:eastAsia="zh-CN"/>
              </w:rPr>
            </w:pPr>
            <w:r>
              <w:rPr>
                <w:rFonts w:hint="eastAsia" w:ascii="方正书宋_GBK" w:eastAsia="方正书宋_GBK" w:cs="Times New Roman"/>
                <w:lang w:eastAsia="zh-CN"/>
              </w:rPr>
              <w:t>个</w:t>
            </w:r>
          </w:p>
        </w:tc>
        <w:tc>
          <w:tcPr>
            <w:tcW w:w="879"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10000</w:t>
            </w:r>
          </w:p>
        </w:tc>
        <w:tc>
          <w:tcPr>
            <w:tcW w:w="916"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0.002</w:t>
            </w:r>
          </w:p>
        </w:tc>
        <w:tc>
          <w:tcPr>
            <w:tcW w:w="1134"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20.00</w:t>
            </w:r>
          </w:p>
        </w:tc>
        <w:tc>
          <w:tcPr>
            <w:tcW w:w="1134"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20.00</w:t>
            </w:r>
          </w:p>
        </w:tc>
        <w:tc>
          <w:tcPr>
            <w:tcW w:w="968" w:type="dxa"/>
            <w:shd w:val="clear" w:color="auto" w:fill="auto"/>
            <w:vAlign w:val="center"/>
          </w:tcPr>
          <w:p>
            <w:pPr>
              <w:spacing w:line="300" w:lineRule="exact"/>
              <w:jc w:val="right"/>
              <w:rPr>
                <w:rFonts w:ascii="方正书宋_GBK" w:eastAsia="方正书宋_GBK" w:cs="Times New Roman"/>
              </w:rPr>
            </w:pPr>
          </w:p>
        </w:tc>
        <w:tc>
          <w:tcPr>
            <w:tcW w:w="1300" w:type="dxa"/>
            <w:shd w:val="clear" w:color="auto" w:fill="auto"/>
            <w:vAlign w:val="center"/>
          </w:tcPr>
          <w:p>
            <w:pPr>
              <w:spacing w:line="300" w:lineRule="exact"/>
              <w:jc w:val="right"/>
              <w:rPr>
                <w:rFonts w:ascii="方正书宋_GBK" w:eastAsia="方正书宋_GBK" w:cs="Times New Roman"/>
              </w:rPr>
            </w:pPr>
          </w:p>
        </w:tc>
        <w:tc>
          <w:tcPr>
            <w:tcW w:w="984" w:type="dxa"/>
            <w:shd w:val="clear" w:color="auto" w:fill="auto"/>
            <w:vAlign w:val="center"/>
          </w:tcPr>
          <w:p>
            <w:pPr>
              <w:spacing w:line="300" w:lineRule="exact"/>
              <w:jc w:val="right"/>
              <w:rPr>
                <w:rFonts w:ascii="方正书宋_GBK" w:eastAsia="方正书宋_GBK" w:cs="Times New Roman"/>
              </w:rPr>
            </w:pPr>
          </w:p>
        </w:tc>
        <w:tc>
          <w:tcPr>
            <w:tcW w:w="791"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34" w:type="dxa"/>
            <w:shd w:val="clear" w:color="auto" w:fill="auto"/>
            <w:vAlign w:val="center"/>
          </w:tcPr>
          <w:p>
            <w:pPr>
              <w:spacing w:line="300" w:lineRule="exact"/>
              <w:jc w:val="center"/>
              <w:rPr>
                <w:rFonts w:hint="eastAsia" w:ascii="方正书宋_GBK" w:hAnsi="Calibri" w:eastAsia="方正书宋_GBK" w:cs="Times New Roman"/>
                <w:kern w:val="2"/>
                <w:sz w:val="21"/>
                <w:szCs w:val="22"/>
                <w:lang w:val="en-US" w:eastAsia="zh-CN" w:bidi="ar-SA"/>
              </w:rPr>
            </w:pPr>
            <w:r>
              <w:rPr>
                <w:rFonts w:hint="eastAsia" w:ascii="方正书宋_GBK" w:eastAsia="方正书宋_GBK" w:cs="Times New Roman"/>
                <w:lang w:eastAsia="zh-CN"/>
              </w:rPr>
              <w:t>农村生活垃圾分类处理经费</w:t>
            </w:r>
          </w:p>
        </w:tc>
        <w:tc>
          <w:tcPr>
            <w:tcW w:w="1093"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16.00</w:t>
            </w:r>
          </w:p>
        </w:tc>
        <w:tc>
          <w:tcPr>
            <w:tcW w:w="1479" w:type="dxa"/>
            <w:shd w:val="clear" w:color="auto" w:fill="auto"/>
            <w:vAlign w:val="center"/>
          </w:tcPr>
          <w:p>
            <w:pPr>
              <w:spacing w:line="300" w:lineRule="exact"/>
              <w:jc w:val="left"/>
              <w:rPr>
                <w:rFonts w:hint="eastAsia" w:ascii="方正书宋_GBK" w:eastAsia="方正书宋_GBK" w:cs="Times New Roman"/>
                <w:lang w:eastAsia="zh-CN"/>
              </w:rPr>
            </w:pPr>
            <w:r>
              <w:rPr>
                <w:rFonts w:hint="eastAsia" w:ascii="方正书宋_GBK" w:eastAsia="方正书宋_GBK" w:cs="Times New Roman"/>
                <w:lang w:eastAsia="zh-CN"/>
              </w:rPr>
              <w:t>垃圾容器</w:t>
            </w:r>
          </w:p>
        </w:tc>
        <w:tc>
          <w:tcPr>
            <w:tcW w:w="1628" w:type="dxa"/>
            <w:shd w:val="clear" w:color="auto" w:fill="auto"/>
            <w:vAlign w:val="center"/>
          </w:tcPr>
          <w:p>
            <w:pPr>
              <w:spacing w:line="300" w:lineRule="exact"/>
              <w:jc w:val="left"/>
              <w:rPr>
                <w:rFonts w:hint="default" w:ascii="方正书宋_GBK" w:eastAsia="方正书宋_GBK" w:cs="Times New Roman"/>
                <w:lang w:val="en-US" w:eastAsia="zh-CN"/>
              </w:rPr>
            </w:pPr>
            <w:r>
              <w:rPr>
                <w:rFonts w:hint="eastAsia" w:ascii="方正书宋_GBK" w:eastAsia="方正书宋_GBK" w:cs="Times New Roman"/>
                <w:lang w:val="en-US" w:eastAsia="zh-CN"/>
              </w:rPr>
              <w:t>A9901</w:t>
            </w:r>
          </w:p>
        </w:tc>
        <w:tc>
          <w:tcPr>
            <w:tcW w:w="750" w:type="dxa"/>
            <w:shd w:val="clear" w:color="auto" w:fill="auto"/>
            <w:vAlign w:val="center"/>
          </w:tcPr>
          <w:p>
            <w:pPr>
              <w:spacing w:line="300" w:lineRule="exact"/>
              <w:jc w:val="center"/>
              <w:rPr>
                <w:rFonts w:hint="eastAsia" w:ascii="方正书宋_GBK" w:eastAsia="方正书宋_GBK" w:cs="Times New Roman"/>
                <w:lang w:eastAsia="zh-CN"/>
              </w:rPr>
            </w:pPr>
            <w:r>
              <w:rPr>
                <w:rFonts w:hint="eastAsia" w:ascii="方正书宋_GBK" w:eastAsia="方正书宋_GBK" w:cs="Times New Roman"/>
                <w:lang w:eastAsia="zh-CN"/>
              </w:rPr>
              <w:t>个</w:t>
            </w:r>
          </w:p>
        </w:tc>
        <w:tc>
          <w:tcPr>
            <w:tcW w:w="879"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1000</w:t>
            </w:r>
          </w:p>
        </w:tc>
        <w:tc>
          <w:tcPr>
            <w:tcW w:w="916"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0.016</w:t>
            </w:r>
          </w:p>
        </w:tc>
        <w:tc>
          <w:tcPr>
            <w:tcW w:w="1134"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16.00</w:t>
            </w:r>
          </w:p>
        </w:tc>
        <w:tc>
          <w:tcPr>
            <w:tcW w:w="1134"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16.00</w:t>
            </w:r>
          </w:p>
        </w:tc>
        <w:tc>
          <w:tcPr>
            <w:tcW w:w="968" w:type="dxa"/>
            <w:shd w:val="clear" w:color="auto" w:fill="auto"/>
            <w:vAlign w:val="center"/>
          </w:tcPr>
          <w:p>
            <w:pPr>
              <w:spacing w:line="300" w:lineRule="exact"/>
              <w:jc w:val="right"/>
              <w:rPr>
                <w:rFonts w:ascii="方正书宋_GBK" w:eastAsia="方正书宋_GBK" w:cs="Times New Roman"/>
              </w:rPr>
            </w:pPr>
          </w:p>
        </w:tc>
        <w:tc>
          <w:tcPr>
            <w:tcW w:w="1300" w:type="dxa"/>
            <w:shd w:val="clear" w:color="auto" w:fill="auto"/>
            <w:vAlign w:val="center"/>
          </w:tcPr>
          <w:p>
            <w:pPr>
              <w:spacing w:line="300" w:lineRule="exact"/>
              <w:jc w:val="right"/>
              <w:rPr>
                <w:rFonts w:ascii="方正书宋_GBK" w:eastAsia="方正书宋_GBK" w:cs="Times New Roman"/>
              </w:rPr>
            </w:pPr>
          </w:p>
        </w:tc>
        <w:tc>
          <w:tcPr>
            <w:tcW w:w="984" w:type="dxa"/>
            <w:shd w:val="clear" w:color="auto" w:fill="auto"/>
            <w:vAlign w:val="center"/>
          </w:tcPr>
          <w:p>
            <w:pPr>
              <w:spacing w:line="300" w:lineRule="exact"/>
              <w:jc w:val="right"/>
              <w:rPr>
                <w:rFonts w:ascii="方正书宋_GBK" w:eastAsia="方正书宋_GBK" w:cs="Times New Roman"/>
              </w:rPr>
            </w:pPr>
          </w:p>
        </w:tc>
        <w:tc>
          <w:tcPr>
            <w:tcW w:w="791"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文安县城市管理综合行政执法局本级</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1018.25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204</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文安县城市管理综合行政执法局</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文安县城市管理综合行政执法局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1018.25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3538.14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507.00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1737.00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491.44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121.88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121.17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268.20</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6</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jMTRhODEwNTBlNWRhODIyYjQzZTU4OGQ1YTg4ZWUifQ=="/>
  </w:docVars>
  <w:rsids>
    <w:rsidRoot w:val="00D347CC"/>
    <w:rsid w:val="00024592"/>
    <w:rsid w:val="004A54AA"/>
    <w:rsid w:val="008F75EB"/>
    <w:rsid w:val="00A706FE"/>
    <w:rsid w:val="00B80935"/>
    <w:rsid w:val="00D347CC"/>
    <w:rsid w:val="014232BD"/>
    <w:rsid w:val="02FF6F56"/>
    <w:rsid w:val="073D7728"/>
    <w:rsid w:val="0DBF6127"/>
    <w:rsid w:val="0F933213"/>
    <w:rsid w:val="127432D1"/>
    <w:rsid w:val="130E13F2"/>
    <w:rsid w:val="241920BD"/>
    <w:rsid w:val="29616DBD"/>
    <w:rsid w:val="2C2E56A4"/>
    <w:rsid w:val="2F556C42"/>
    <w:rsid w:val="34801A29"/>
    <w:rsid w:val="3B6F1B73"/>
    <w:rsid w:val="3E184A0C"/>
    <w:rsid w:val="42226389"/>
    <w:rsid w:val="49B918B7"/>
    <w:rsid w:val="4A18633F"/>
    <w:rsid w:val="50C94F86"/>
    <w:rsid w:val="578A3B8B"/>
    <w:rsid w:val="70B33E4A"/>
    <w:rsid w:val="70D165C0"/>
    <w:rsid w:val="719B4D14"/>
    <w:rsid w:val="7F3B7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paragraph" w:styleId="8">
    <w:name w:val="Normal (Web)"/>
    <w:basedOn w:val="1"/>
    <w:qFormat/>
    <w:uiPriority w:val="0"/>
    <w:pPr>
      <w:widowControl/>
      <w:jc w:val="left"/>
    </w:pPr>
    <w:rPr>
      <w:rFonts w:ascii="宋体" w:hAnsi="宋体" w:cs="宋体"/>
      <w:kern w:val="0"/>
      <w:sz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26</Pages>
  <Words>13949</Words>
  <Characters>14606</Characters>
  <Lines>23</Lines>
  <Paragraphs>6</Paragraphs>
  <TotalTime>12</TotalTime>
  <ScaleCrop>false</ScaleCrop>
  <LinksUpToDate>false</LinksUpToDate>
  <CharactersWithSpaces>14689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2022-09-16T07:13:11Z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E62967E4F30F4AEFB7033D0C4DB17EBD</vt:lpwstr>
  </property>
</Properties>
</file>